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26"/>
        <w:jc w:val="both"/>
        <w:rPr>
          <w:rFonts w:hint="eastAsia" w:ascii="仿宋_GB2312" w:hAnsi="仿宋_GB2312" w:eastAsia="仿宋_GB2312" w:cs="仿宋_GB2312"/>
          <w:color w:val="auto"/>
          <w:kern w:val="0"/>
          <w:sz w:val="32"/>
          <w:szCs w:val="32"/>
          <w:lang w:val="en-US" w:eastAsia="zh-CN"/>
        </w:rPr>
      </w:pPr>
      <w:bookmarkStart w:id="0" w:name="_GoBack"/>
      <w:bookmarkEnd w:id="0"/>
      <w:r>
        <w:rPr>
          <w:rFonts w:hint="eastAsia" w:ascii="仿宋_GB2312" w:hAnsi="仿宋_GB2312" w:eastAsia="仿宋_GB2312" w:cs="仿宋_GB2312"/>
          <w:b/>
          <w:bCs/>
          <w:kern w:val="0"/>
          <w:sz w:val="32"/>
          <w:szCs w:val="32"/>
        </w:rPr>
        <w:t>附件1：</w:t>
      </w:r>
      <w:r>
        <w:rPr>
          <w:rFonts w:hint="eastAsia" w:ascii="仿宋_GB2312" w:hAnsi="仿宋_GB2312" w:eastAsia="仿宋_GB2312" w:cs="仿宋_GB2312"/>
          <w:color w:val="auto"/>
          <w:kern w:val="0"/>
          <w:sz w:val="32"/>
          <w:szCs w:val="32"/>
          <w:lang w:val="en-US" w:eastAsia="zh-CN"/>
        </w:rPr>
        <w:t xml:space="preserve">    </w:t>
      </w:r>
    </w:p>
    <w:p>
      <w:pPr>
        <w:widowControl/>
        <w:shd w:val="clear" w:color="auto" w:fill="FFFFFF"/>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lang w:val="en-US" w:eastAsia="zh-CN"/>
        </w:rPr>
        <w:t xml:space="preserve">    </w:t>
      </w:r>
      <w:r>
        <w:rPr>
          <w:rFonts w:hint="eastAsia" w:ascii="仿宋_GB2312" w:hAnsi="仿宋_GB2312" w:eastAsia="仿宋_GB2312" w:cs="仿宋_GB2312"/>
          <w:color w:val="auto"/>
          <w:kern w:val="0"/>
          <w:sz w:val="32"/>
          <w:szCs w:val="32"/>
        </w:rPr>
        <w:t>本次评标采用综合评分法（满分100分）。评标委员会对满足招标文件实质性要求的投标文件，按照本节规定的</w:t>
      </w:r>
      <w:r>
        <w:rPr>
          <w:rFonts w:hint="eastAsia" w:ascii="仿宋_GB2312" w:hAnsi="仿宋_GB2312" w:eastAsia="仿宋_GB2312" w:cs="仿宋_GB2312"/>
          <w:color w:val="auto"/>
          <w:kern w:val="0"/>
          <w:sz w:val="32"/>
          <w:szCs w:val="32"/>
          <w:lang w:val="en-US" w:eastAsia="zh-CN"/>
        </w:rPr>
        <w:t>详细</w:t>
      </w:r>
      <w:r>
        <w:rPr>
          <w:rFonts w:hint="eastAsia" w:ascii="仿宋_GB2312" w:hAnsi="仿宋_GB2312" w:eastAsia="仿宋_GB2312" w:cs="仿宋_GB2312"/>
          <w:color w:val="auto"/>
          <w:kern w:val="0"/>
          <w:sz w:val="32"/>
          <w:szCs w:val="32"/>
        </w:rPr>
        <w:t>评</w:t>
      </w:r>
      <w:r>
        <w:rPr>
          <w:rFonts w:hint="eastAsia" w:ascii="仿宋_GB2312" w:hAnsi="仿宋_GB2312" w:eastAsia="仿宋_GB2312" w:cs="仿宋_GB2312"/>
          <w:color w:val="auto"/>
          <w:kern w:val="0"/>
          <w:sz w:val="32"/>
          <w:szCs w:val="32"/>
          <w:lang w:val="en-US" w:eastAsia="zh-CN"/>
        </w:rPr>
        <w:t>审</w:t>
      </w:r>
      <w:r>
        <w:rPr>
          <w:rFonts w:hint="eastAsia" w:ascii="仿宋_GB2312" w:hAnsi="仿宋_GB2312" w:eastAsia="仿宋_GB2312" w:cs="仿宋_GB2312"/>
          <w:color w:val="auto"/>
          <w:kern w:val="0"/>
          <w:sz w:val="32"/>
          <w:szCs w:val="32"/>
        </w:rPr>
        <w:t>标准进行打分，并按汇总得分由高到低的顺序推荐前两名中标候选人。</w:t>
      </w:r>
    </w:p>
    <w:p>
      <w:pPr>
        <w:widowControl/>
        <w:numPr>
          <w:ilvl w:val="0"/>
          <w:numId w:val="2"/>
        </w:numPr>
        <w:shd w:val="clear" w:color="auto" w:fill="FFFFFF"/>
        <w:jc w:val="left"/>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初步评审：</w:t>
      </w:r>
    </w:p>
    <w:tbl>
      <w:tblPr>
        <w:tblStyle w:val="23"/>
        <w:tblW w:w="95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7"/>
        <w:gridCol w:w="2092"/>
        <w:gridCol w:w="65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7" w:hRule="atLeast"/>
          <w:jc w:val="center"/>
        </w:trPr>
        <w:tc>
          <w:tcPr>
            <w:tcW w:w="9564" w:type="dxa"/>
            <w:gridSpan w:val="3"/>
            <w:vAlign w:val="center"/>
          </w:tcPr>
          <w:p>
            <w:pPr>
              <w:adjustRightInd w:val="0"/>
              <w:snapToGrid w:val="0"/>
              <w:spacing w:line="460" w:lineRule="exact"/>
              <w:jc w:val="center"/>
              <w:rPr>
                <w:rFonts w:ascii="宋体" w:hAnsi="宋体" w:eastAsia="宋体" w:cs="宋体"/>
                <w:b/>
                <w:bCs/>
                <w:sz w:val="24"/>
                <w:szCs w:val="22"/>
              </w:rPr>
            </w:pPr>
            <w:r>
              <w:rPr>
                <w:rFonts w:hint="eastAsia" w:ascii="仿宋_GB2312" w:hAnsi="仿宋_GB2312" w:eastAsia="仿宋_GB2312" w:cs="仿宋_GB2312"/>
                <w:b/>
                <w:bCs/>
                <w:sz w:val="24"/>
                <w:szCs w:val="22"/>
              </w:rPr>
              <w:t>初审内容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2" w:hRule="atLeast"/>
          <w:jc w:val="center"/>
        </w:trPr>
        <w:tc>
          <w:tcPr>
            <w:tcW w:w="947" w:type="dxa"/>
            <w:vAlign w:val="center"/>
          </w:tcPr>
          <w:p>
            <w:pPr>
              <w:adjustRightInd w:val="0"/>
              <w:snapToGrid w:val="0"/>
              <w:spacing w:line="460" w:lineRule="exact"/>
              <w:jc w:val="center"/>
              <w:rPr>
                <w:rFonts w:hint="eastAsia" w:ascii="仿宋_GB2312" w:hAnsi="仿宋_GB2312" w:eastAsia="仿宋_GB2312" w:cs="仿宋_GB2312"/>
                <w:b/>
                <w:bCs/>
                <w:sz w:val="24"/>
                <w:szCs w:val="22"/>
              </w:rPr>
            </w:pPr>
            <w:r>
              <w:rPr>
                <w:rFonts w:hint="eastAsia" w:ascii="仿宋_GB2312" w:hAnsi="仿宋_GB2312" w:eastAsia="仿宋_GB2312" w:cs="仿宋_GB2312"/>
                <w:b/>
                <w:bCs/>
                <w:sz w:val="24"/>
                <w:szCs w:val="22"/>
              </w:rPr>
              <w:t>序号</w:t>
            </w:r>
          </w:p>
        </w:tc>
        <w:tc>
          <w:tcPr>
            <w:tcW w:w="2092" w:type="dxa"/>
            <w:vAlign w:val="center"/>
          </w:tcPr>
          <w:p>
            <w:pPr>
              <w:adjustRightInd w:val="0"/>
              <w:snapToGrid w:val="0"/>
              <w:spacing w:line="460" w:lineRule="exact"/>
              <w:jc w:val="center"/>
              <w:rPr>
                <w:rFonts w:hint="eastAsia" w:ascii="仿宋_GB2312" w:hAnsi="仿宋_GB2312" w:eastAsia="仿宋_GB2312" w:cs="仿宋_GB2312"/>
                <w:b/>
                <w:bCs/>
                <w:sz w:val="24"/>
                <w:szCs w:val="22"/>
              </w:rPr>
            </w:pPr>
            <w:r>
              <w:rPr>
                <w:rFonts w:hint="eastAsia" w:ascii="仿宋_GB2312" w:hAnsi="仿宋_GB2312" w:eastAsia="仿宋_GB2312" w:cs="仿宋_GB2312"/>
                <w:b/>
                <w:bCs/>
                <w:sz w:val="24"/>
                <w:szCs w:val="22"/>
              </w:rPr>
              <w:t>评审指标</w:t>
            </w:r>
          </w:p>
        </w:tc>
        <w:tc>
          <w:tcPr>
            <w:tcW w:w="6525" w:type="dxa"/>
            <w:vAlign w:val="center"/>
          </w:tcPr>
          <w:p>
            <w:pPr>
              <w:adjustRightInd w:val="0"/>
              <w:snapToGrid w:val="0"/>
              <w:spacing w:line="460" w:lineRule="exact"/>
              <w:jc w:val="center"/>
              <w:rPr>
                <w:rFonts w:hint="eastAsia" w:ascii="仿宋_GB2312" w:hAnsi="仿宋_GB2312" w:eastAsia="仿宋_GB2312" w:cs="仿宋_GB2312"/>
                <w:b/>
                <w:bCs/>
                <w:sz w:val="24"/>
                <w:szCs w:val="22"/>
              </w:rPr>
            </w:pPr>
            <w:r>
              <w:rPr>
                <w:rFonts w:hint="eastAsia" w:ascii="仿宋_GB2312" w:hAnsi="仿宋_GB2312" w:eastAsia="仿宋_GB2312" w:cs="仿宋_GB2312"/>
                <w:b/>
                <w:bCs/>
                <w:sz w:val="24"/>
                <w:szCs w:val="22"/>
              </w:rPr>
              <w:t>评审内容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2" w:hRule="atLeast"/>
          <w:jc w:val="center"/>
        </w:trPr>
        <w:tc>
          <w:tcPr>
            <w:tcW w:w="947" w:type="dxa"/>
            <w:vAlign w:val="center"/>
          </w:tcPr>
          <w:p>
            <w:pPr>
              <w:adjustRightInd w:val="0"/>
              <w:snapToGrid w:val="0"/>
              <w:spacing w:line="460" w:lineRule="exact"/>
              <w:jc w:val="center"/>
              <w:rPr>
                <w:rFonts w:hint="eastAsia" w:ascii="仿宋_GB2312" w:hAnsi="仿宋_GB2312" w:eastAsia="仿宋_GB2312" w:cs="仿宋_GB2312"/>
                <w:b/>
                <w:bCs/>
                <w:sz w:val="24"/>
                <w:szCs w:val="24"/>
              </w:rPr>
            </w:pPr>
            <w:r>
              <w:rPr>
                <w:rFonts w:hint="eastAsia" w:ascii="仿宋_GB2312" w:hAnsi="仿宋_GB2312" w:eastAsia="仿宋_GB2312" w:cs="仿宋_GB2312"/>
                <w:sz w:val="24"/>
                <w:szCs w:val="24"/>
              </w:rPr>
              <w:t>1</w:t>
            </w:r>
          </w:p>
        </w:tc>
        <w:tc>
          <w:tcPr>
            <w:tcW w:w="2092" w:type="dxa"/>
            <w:vAlign w:val="center"/>
          </w:tcPr>
          <w:p>
            <w:pPr>
              <w:adjustRightInd w:val="0"/>
              <w:snapToGrid w:val="0"/>
              <w:spacing w:line="460" w:lineRule="exact"/>
              <w:rPr>
                <w:rFonts w:hint="eastAsia" w:ascii="仿宋_GB2312" w:hAnsi="仿宋_GB2312" w:eastAsia="仿宋_GB2312" w:cs="仿宋_GB2312"/>
                <w:b/>
                <w:bCs/>
                <w:sz w:val="24"/>
                <w:szCs w:val="24"/>
              </w:rPr>
            </w:pPr>
            <w:r>
              <w:rPr>
                <w:rFonts w:hint="eastAsia" w:ascii="仿宋_GB2312" w:hAnsi="仿宋_GB2312" w:eastAsia="仿宋_GB2312" w:cs="仿宋_GB2312"/>
                <w:sz w:val="24"/>
                <w:szCs w:val="24"/>
              </w:rPr>
              <w:t>营业执照</w:t>
            </w:r>
          </w:p>
        </w:tc>
        <w:tc>
          <w:tcPr>
            <w:tcW w:w="6525" w:type="dxa"/>
            <w:vAlign w:val="center"/>
          </w:tcPr>
          <w:p>
            <w:pPr>
              <w:adjustRightInd w:val="0"/>
              <w:snapToGrid w:val="0"/>
              <w:spacing w:line="460" w:lineRule="exact"/>
              <w:rPr>
                <w:rFonts w:hint="eastAsia" w:ascii="仿宋_GB2312" w:hAnsi="仿宋_GB2312" w:eastAsia="仿宋_GB2312" w:cs="仿宋_GB2312"/>
                <w:b/>
                <w:bCs/>
                <w:sz w:val="24"/>
                <w:szCs w:val="24"/>
              </w:rPr>
            </w:pPr>
            <w:r>
              <w:rPr>
                <w:rFonts w:hint="eastAsia" w:ascii="仿宋_GB2312" w:hAnsi="仿宋_GB2312" w:eastAsia="仿宋_GB2312" w:cs="仿宋_GB2312"/>
                <w:sz w:val="24"/>
                <w:szCs w:val="24"/>
              </w:rPr>
              <w:t>合法有效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0" w:hRule="atLeast"/>
          <w:jc w:val="center"/>
        </w:trPr>
        <w:tc>
          <w:tcPr>
            <w:tcW w:w="947" w:type="dxa"/>
            <w:vAlign w:val="center"/>
          </w:tcPr>
          <w:p>
            <w:pPr>
              <w:adjustRightInd w:val="0"/>
              <w:snapToGrid w:val="0"/>
              <w:spacing w:line="46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w:t>
            </w:r>
          </w:p>
        </w:tc>
        <w:tc>
          <w:tcPr>
            <w:tcW w:w="2092" w:type="dxa"/>
            <w:vAlign w:val="center"/>
          </w:tcPr>
          <w:p>
            <w:pPr>
              <w:adjustRightInd w:val="0"/>
              <w:snapToGrid w:val="0"/>
              <w:spacing w:line="460" w:lineRule="exac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响应文件签章</w:t>
            </w:r>
            <w:r>
              <w:rPr>
                <w:rFonts w:hint="eastAsia" w:ascii="仿宋_GB2312" w:hAnsi="仿宋_GB2312" w:eastAsia="仿宋_GB2312" w:cs="仿宋_GB2312"/>
                <w:sz w:val="24"/>
                <w:szCs w:val="24"/>
                <w:lang w:val="en-US" w:eastAsia="zh-CN"/>
              </w:rPr>
              <w:t>及法人授权委托书</w:t>
            </w:r>
          </w:p>
        </w:tc>
        <w:tc>
          <w:tcPr>
            <w:tcW w:w="6525" w:type="dxa"/>
            <w:vAlign w:val="center"/>
          </w:tcPr>
          <w:p>
            <w:pPr>
              <w:adjustRightInd w:val="0"/>
              <w:snapToGrid w:val="0"/>
              <w:spacing w:line="46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①</w:t>
            </w:r>
            <w:r>
              <w:rPr>
                <w:rFonts w:hint="eastAsia" w:ascii="仿宋_GB2312" w:hAnsi="仿宋_GB2312" w:eastAsia="仿宋_GB2312" w:cs="仿宋_GB2312"/>
                <w:sz w:val="24"/>
                <w:szCs w:val="24"/>
              </w:rPr>
              <w:t>磋商采购响应文件签章等满足采购文件要求</w:t>
            </w:r>
          </w:p>
          <w:p>
            <w:pPr>
              <w:pStyle w:val="2"/>
              <w:ind w:left="0" w:leftChars="0" w:firstLine="0" w:firstLineChars="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color w:val="auto"/>
                <w:sz w:val="24"/>
                <w:szCs w:val="24"/>
                <w:lang w:val="en-US" w:eastAsia="zh-CN"/>
              </w:rPr>
              <w:t>②有效的法人授权委托书或法人身份证明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0" w:hRule="atLeast"/>
          <w:jc w:val="center"/>
        </w:trPr>
        <w:tc>
          <w:tcPr>
            <w:tcW w:w="947" w:type="dxa"/>
            <w:vAlign w:val="center"/>
          </w:tcPr>
          <w:p>
            <w:pPr>
              <w:adjustRightInd w:val="0"/>
              <w:snapToGrid w:val="0"/>
              <w:spacing w:line="46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w:t>
            </w:r>
          </w:p>
        </w:tc>
        <w:tc>
          <w:tcPr>
            <w:tcW w:w="2092" w:type="dxa"/>
            <w:vAlign w:val="center"/>
          </w:tcPr>
          <w:p>
            <w:pPr>
              <w:adjustRightInd w:val="0"/>
              <w:snapToGrid w:val="0"/>
              <w:spacing w:line="46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服务期限</w:t>
            </w:r>
          </w:p>
        </w:tc>
        <w:tc>
          <w:tcPr>
            <w:tcW w:w="6525" w:type="dxa"/>
            <w:vAlign w:val="center"/>
          </w:tcPr>
          <w:p>
            <w:pPr>
              <w:adjustRightInd w:val="0"/>
              <w:snapToGrid w:val="0"/>
              <w:spacing w:line="46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服务期限满足采购文件要求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0" w:hRule="atLeast"/>
          <w:jc w:val="center"/>
        </w:trPr>
        <w:tc>
          <w:tcPr>
            <w:tcW w:w="947" w:type="dxa"/>
            <w:vAlign w:val="center"/>
          </w:tcPr>
          <w:p>
            <w:pPr>
              <w:adjustRightInd w:val="0"/>
              <w:snapToGrid w:val="0"/>
              <w:spacing w:line="46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w:t>
            </w:r>
          </w:p>
        </w:tc>
        <w:tc>
          <w:tcPr>
            <w:tcW w:w="2092" w:type="dxa"/>
            <w:vAlign w:val="center"/>
          </w:tcPr>
          <w:p>
            <w:pPr>
              <w:adjustRightInd w:val="0"/>
              <w:snapToGrid w:val="0"/>
              <w:spacing w:line="46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不良记录</w:t>
            </w:r>
          </w:p>
        </w:tc>
        <w:tc>
          <w:tcPr>
            <w:tcW w:w="6525" w:type="dxa"/>
            <w:vAlign w:val="center"/>
          </w:tcPr>
          <w:p>
            <w:pPr>
              <w:adjustRightInd/>
              <w:snapToGrid/>
              <w:spacing w:line="360" w:lineRule="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提供承诺函（见参选文件格式）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0" w:hRule="atLeast"/>
          <w:jc w:val="center"/>
        </w:trPr>
        <w:tc>
          <w:tcPr>
            <w:tcW w:w="947" w:type="dxa"/>
            <w:vAlign w:val="center"/>
          </w:tcPr>
          <w:p>
            <w:pPr>
              <w:adjustRightInd w:val="0"/>
              <w:snapToGrid w:val="0"/>
              <w:spacing w:line="46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w:t>
            </w:r>
          </w:p>
        </w:tc>
        <w:tc>
          <w:tcPr>
            <w:tcW w:w="2092" w:type="dxa"/>
            <w:vAlign w:val="center"/>
          </w:tcPr>
          <w:p>
            <w:pPr>
              <w:adjustRightInd w:val="0"/>
              <w:snapToGrid w:val="0"/>
              <w:spacing w:line="46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报价</w:t>
            </w:r>
          </w:p>
        </w:tc>
        <w:tc>
          <w:tcPr>
            <w:tcW w:w="6525" w:type="dxa"/>
            <w:vAlign w:val="center"/>
          </w:tcPr>
          <w:p>
            <w:pPr>
              <w:adjustRightInd w:val="0"/>
              <w:snapToGrid w:val="0"/>
              <w:spacing w:line="46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报价未超过最高限价且无重复报价、缺项、漏项情况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9564" w:type="dxa"/>
            <w:gridSpan w:val="3"/>
            <w:vAlign w:val="center"/>
          </w:tcPr>
          <w:p>
            <w:pPr>
              <w:adjustRightInd w:val="0"/>
              <w:snapToGrid w:val="0"/>
              <w:spacing w:line="46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注：以上各项评审内容必须全部合格，方能参与下一阶段评审。</w:t>
            </w:r>
          </w:p>
        </w:tc>
      </w:tr>
    </w:tbl>
    <w:p>
      <w:pPr>
        <w:widowControl/>
        <w:numPr>
          <w:numId w:val="0"/>
        </w:numPr>
        <w:shd w:val="clear" w:color="auto" w:fill="FFFFFF"/>
        <w:jc w:val="left"/>
        <w:rPr>
          <w:rFonts w:hint="eastAsia" w:ascii="仿宋" w:hAnsi="仿宋" w:eastAsia="仿宋" w:cs="仿宋"/>
          <w:color w:val="auto"/>
          <w:kern w:val="0"/>
          <w:sz w:val="32"/>
          <w:szCs w:val="32"/>
          <w:lang w:val="en-US" w:eastAsia="zh-CN"/>
        </w:rPr>
      </w:pPr>
    </w:p>
    <w:p>
      <w:pPr>
        <w:widowControl/>
        <w:numPr>
          <w:numId w:val="0"/>
        </w:numPr>
        <w:shd w:val="clear" w:color="auto" w:fill="FFFFFF"/>
        <w:jc w:val="left"/>
        <w:rPr>
          <w:rFonts w:hint="eastAsia" w:ascii="仿宋" w:hAnsi="仿宋" w:eastAsia="仿宋" w:cs="仿宋"/>
          <w:color w:val="auto"/>
          <w:kern w:val="0"/>
          <w:sz w:val="32"/>
          <w:szCs w:val="32"/>
          <w:lang w:val="en-US" w:eastAsia="zh-CN"/>
        </w:rPr>
      </w:pPr>
    </w:p>
    <w:p>
      <w:pPr>
        <w:widowControl/>
        <w:numPr>
          <w:numId w:val="0"/>
        </w:numPr>
        <w:shd w:val="clear" w:color="auto" w:fill="FFFFFF"/>
        <w:jc w:val="left"/>
        <w:rPr>
          <w:rFonts w:hint="eastAsia" w:ascii="仿宋" w:hAnsi="仿宋" w:eastAsia="仿宋" w:cs="仿宋"/>
          <w:color w:val="auto"/>
          <w:kern w:val="0"/>
          <w:sz w:val="32"/>
          <w:szCs w:val="32"/>
          <w:lang w:val="en-US" w:eastAsia="zh-CN"/>
        </w:rPr>
      </w:pPr>
    </w:p>
    <w:p>
      <w:pPr>
        <w:widowControl/>
        <w:numPr>
          <w:numId w:val="0"/>
        </w:numPr>
        <w:shd w:val="clear" w:color="auto" w:fill="FFFFFF"/>
        <w:jc w:val="left"/>
        <w:rPr>
          <w:rFonts w:hint="eastAsia" w:ascii="仿宋" w:hAnsi="仿宋" w:eastAsia="仿宋" w:cs="仿宋"/>
          <w:color w:val="auto"/>
          <w:kern w:val="0"/>
          <w:sz w:val="32"/>
          <w:szCs w:val="32"/>
          <w:lang w:val="en-US" w:eastAsia="zh-CN"/>
        </w:rPr>
      </w:pPr>
    </w:p>
    <w:p>
      <w:pPr>
        <w:widowControl/>
        <w:numPr>
          <w:numId w:val="0"/>
        </w:numPr>
        <w:shd w:val="clear" w:color="auto" w:fill="FFFFFF"/>
        <w:jc w:val="left"/>
        <w:rPr>
          <w:rFonts w:hint="eastAsia" w:ascii="仿宋" w:hAnsi="仿宋" w:eastAsia="仿宋" w:cs="仿宋"/>
          <w:color w:val="auto"/>
          <w:kern w:val="0"/>
          <w:sz w:val="32"/>
          <w:szCs w:val="32"/>
          <w:lang w:val="en-US" w:eastAsia="zh-CN"/>
        </w:rPr>
      </w:pPr>
    </w:p>
    <w:p>
      <w:pPr>
        <w:widowControl/>
        <w:numPr>
          <w:numId w:val="0"/>
        </w:numPr>
        <w:shd w:val="clear" w:color="auto" w:fill="FFFFFF"/>
        <w:jc w:val="left"/>
        <w:rPr>
          <w:rFonts w:hint="eastAsia" w:ascii="仿宋" w:hAnsi="仿宋" w:eastAsia="仿宋" w:cs="仿宋"/>
          <w:color w:val="auto"/>
          <w:kern w:val="0"/>
          <w:sz w:val="32"/>
          <w:szCs w:val="32"/>
          <w:lang w:val="en-US" w:eastAsia="zh-CN"/>
        </w:rPr>
      </w:pPr>
    </w:p>
    <w:p>
      <w:pPr>
        <w:widowControl/>
        <w:numPr>
          <w:numId w:val="0"/>
        </w:numPr>
        <w:shd w:val="clear" w:color="auto" w:fill="FFFFFF"/>
        <w:jc w:val="left"/>
        <w:rPr>
          <w:rFonts w:hint="eastAsia" w:ascii="仿宋" w:hAnsi="仿宋" w:eastAsia="仿宋" w:cs="仿宋"/>
          <w:color w:val="auto"/>
          <w:kern w:val="0"/>
          <w:sz w:val="32"/>
          <w:szCs w:val="32"/>
          <w:lang w:val="en-US" w:eastAsia="zh-CN"/>
        </w:rPr>
      </w:pPr>
    </w:p>
    <w:p>
      <w:pPr>
        <w:widowControl/>
        <w:numPr>
          <w:ilvl w:val="0"/>
          <w:numId w:val="2"/>
        </w:numPr>
        <w:shd w:val="clear" w:color="auto" w:fill="FFFFFF"/>
        <w:jc w:val="left"/>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详细评审（总分100分）</w:t>
      </w:r>
    </w:p>
    <w:tbl>
      <w:tblPr>
        <w:tblStyle w:val="24"/>
        <w:tblW w:w="85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3"/>
        <w:gridCol w:w="1477"/>
        <w:gridCol w:w="4965"/>
        <w:gridCol w:w="12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3" w:type="dxa"/>
            <w:vAlign w:val="center"/>
          </w:tcPr>
          <w:p>
            <w:pPr>
              <w:ind w:firstLine="0"/>
              <w:jc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评分内容</w:t>
            </w:r>
          </w:p>
        </w:tc>
        <w:tc>
          <w:tcPr>
            <w:tcW w:w="1477" w:type="dxa"/>
            <w:vAlign w:val="center"/>
          </w:tcPr>
          <w:p>
            <w:pPr>
              <w:ind w:firstLine="0"/>
              <w:jc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评分</w:t>
            </w:r>
          </w:p>
          <w:p>
            <w:pPr>
              <w:ind w:firstLine="0"/>
              <w:jc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因素</w:t>
            </w:r>
          </w:p>
        </w:tc>
        <w:tc>
          <w:tcPr>
            <w:tcW w:w="4965" w:type="dxa"/>
            <w:vAlign w:val="center"/>
          </w:tcPr>
          <w:p>
            <w:pPr>
              <w:ind w:firstLine="0"/>
              <w:jc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评分标准</w:t>
            </w:r>
          </w:p>
        </w:tc>
        <w:tc>
          <w:tcPr>
            <w:tcW w:w="1227" w:type="dxa"/>
            <w:vAlign w:val="center"/>
          </w:tcPr>
          <w:p>
            <w:pPr>
              <w:ind w:firstLine="0"/>
              <w:jc w:val="center"/>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评委打分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75" w:hRule="atLeast"/>
        </w:trPr>
        <w:tc>
          <w:tcPr>
            <w:tcW w:w="853" w:type="dxa"/>
            <w:vMerge w:val="restart"/>
            <w:vAlign w:val="center"/>
          </w:tcPr>
          <w:p>
            <w:pPr>
              <w:ind w:firstLine="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技术部分90</w:t>
            </w:r>
            <w:r>
              <w:rPr>
                <w:rFonts w:hint="eastAsia" w:ascii="仿宋_GB2312" w:hAnsi="仿宋_GB2312" w:eastAsia="仿宋_GB2312" w:cs="仿宋_GB2312"/>
                <w:sz w:val="24"/>
                <w:szCs w:val="24"/>
              </w:rPr>
              <w:t>分</w:t>
            </w:r>
          </w:p>
          <w:p>
            <w:pPr>
              <w:ind w:firstLine="0"/>
              <w:jc w:val="center"/>
              <w:rPr>
                <w:rFonts w:hint="eastAsia" w:ascii="仿宋_GB2312" w:hAnsi="仿宋_GB2312" w:eastAsia="仿宋_GB2312" w:cs="仿宋_GB2312"/>
                <w:sz w:val="24"/>
                <w:szCs w:val="24"/>
              </w:rPr>
            </w:pPr>
          </w:p>
        </w:tc>
        <w:tc>
          <w:tcPr>
            <w:tcW w:w="1477" w:type="dxa"/>
            <w:vAlign w:val="center"/>
          </w:tcPr>
          <w:p>
            <w:pPr>
              <w:ind w:firstLine="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服务方案（满分25分）</w:t>
            </w:r>
          </w:p>
        </w:tc>
        <w:tc>
          <w:tcPr>
            <w:tcW w:w="4965" w:type="dxa"/>
            <w:vAlign w:val="center"/>
          </w:tcPr>
          <w:p>
            <w:pPr>
              <w:pStyle w:val="9"/>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方案需包含整体思路、目标愿景、重点项目和重点任务的研究内容，方案需结合实际、全面、创新和针对性强并具有可操作性。</w:t>
            </w:r>
            <w:r>
              <w:rPr>
                <w:rFonts w:hint="eastAsia" w:ascii="仿宋_GB2312" w:hAnsi="仿宋_GB2312" w:eastAsia="仿宋_GB2312" w:cs="仿宋_GB2312"/>
                <w:sz w:val="24"/>
                <w:szCs w:val="24"/>
                <w:lang w:val="en-US" w:eastAsia="zh-CN"/>
              </w:rPr>
              <w:t>根据提供的方案横向比较，不提供不得分。</w:t>
            </w:r>
          </w:p>
          <w:p>
            <w:pPr>
              <w:ind w:firstLine="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1.评价为优，得</w:t>
            </w:r>
            <w:r>
              <w:rPr>
                <w:rFonts w:hint="eastAsia" w:ascii="仿宋_GB2312" w:hAnsi="仿宋_GB2312" w:eastAsia="仿宋_GB2312" w:cs="仿宋_GB2312"/>
                <w:sz w:val="24"/>
                <w:szCs w:val="24"/>
                <w:lang w:val="en-US" w:eastAsia="zh-CN"/>
              </w:rPr>
              <w:t>19</w:t>
            </w:r>
            <w:r>
              <w:rPr>
                <w:rFonts w:hint="eastAsia" w:ascii="仿宋_GB2312" w:hAnsi="仿宋_GB2312" w:eastAsia="仿宋_GB2312" w:cs="仿宋_GB2312"/>
                <w:sz w:val="24"/>
                <w:szCs w:val="24"/>
              </w:rPr>
              <w:t>-2</w:t>
            </w: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分；</w:t>
            </w:r>
          </w:p>
          <w:p>
            <w:pPr>
              <w:ind w:firstLine="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2.评价为良，得</w:t>
            </w:r>
            <w:r>
              <w:rPr>
                <w:rFonts w:hint="eastAsia" w:ascii="仿宋_GB2312" w:hAnsi="仿宋_GB2312" w:eastAsia="仿宋_GB2312" w:cs="仿宋_GB2312"/>
                <w:sz w:val="24"/>
                <w:szCs w:val="24"/>
                <w:lang w:val="en-US" w:eastAsia="zh-CN"/>
              </w:rPr>
              <w:t>12</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18</w:t>
            </w:r>
            <w:r>
              <w:rPr>
                <w:rFonts w:hint="eastAsia" w:ascii="仿宋_GB2312" w:hAnsi="仿宋_GB2312" w:eastAsia="仿宋_GB2312" w:cs="仿宋_GB2312"/>
                <w:sz w:val="24"/>
                <w:szCs w:val="24"/>
              </w:rPr>
              <w:t>分；</w:t>
            </w:r>
          </w:p>
          <w:p>
            <w:pPr>
              <w:ind w:firstLine="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3.评价为中，得</w:t>
            </w:r>
            <w:r>
              <w:rPr>
                <w:rFonts w:hint="eastAsia" w:ascii="仿宋_GB2312" w:hAnsi="仿宋_GB2312" w:eastAsia="仿宋_GB2312" w:cs="仿宋_GB2312"/>
                <w:sz w:val="24"/>
                <w:szCs w:val="24"/>
                <w:lang w:val="en-US" w:eastAsia="zh-CN"/>
              </w:rPr>
              <w:t>6</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11</w:t>
            </w:r>
            <w:r>
              <w:rPr>
                <w:rFonts w:hint="eastAsia" w:ascii="仿宋_GB2312" w:hAnsi="仿宋_GB2312" w:eastAsia="仿宋_GB2312" w:cs="仿宋_GB2312"/>
                <w:sz w:val="24"/>
                <w:szCs w:val="24"/>
              </w:rPr>
              <w:t>分；</w:t>
            </w:r>
          </w:p>
          <w:p>
            <w:pPr>
              <w:ind w:firstLine="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4.评价为差，得1-</w:t>
            </w: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分。</w:t>
            </w:r>
          </w:p>
        </w:tc>
        <w:tc>
          <w:tcPr>
            <w:tcW w:w="1227" w:type="dxa"/>
            <w:vAlign w:val="center"/>
          </w:tcPr>
          <w:p>
            <w:pPr>
              <w:ind w:firstLine="0"/>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3" w:type="dxa"/>
            <w:vMerge w:val="continue"/>
            <w:vAlign w:val="center"/>
          </w:tcPr>
          <w:p>
            <w:pPr>
              <w:ind w:firstLine="0"/>
              <w:jc w:val="center"/>
              <w:rPr>
                <w:rFonts w:hint="eastAsia" w:ascii="仿宋_GB2312" w:hAnsi="仿宋_GB2312" w:eastAsia="仿宋_GB2312" w:cs="仿宋_GB2312"/>
                <w:sz w:val="24"/>
                <w:szCs w:val="24"/>
              </w:rPr>
            </w:pPr>
          </w:p>
        </w:tc>
        <w:tc>
          <w:tcPr>
            <w:tcW w:w="1477" w:type="dxa"/>
            <w:vAlign w:val="center"/>
          </w:tcPr>
          <w:p>
            <w:pPr>
              <w:ind w:firstLine="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供应商</w:t>
            </w:r>
            <w:r>
              <w:rPr>
                <w:rFonts w:hint="eastAsia" w:ascii="仿宋_GB2312" w:hAnsi="仿宋_GB2312" w:eastAsia="仿宋_GB2312" w:cs="仿宋_GB2312"/>
                <w:sz w:val="24"/>
                <w:szCs w:val="24"/>
              </w:rPr>
              <w:t>业绩</w:t>
            </w:r>
          </w:p>
          <w:p>
            <w:pPr>
              <w:ind w:firstLine="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（满分15</w:t>
            </w:r>
            <w:r>
              <w:rPr>
                <w:rFonts w:hint="eastAsia" w:ascii="仿宋_GB2312" w:hAnsi="仿宋_GB2312" w:eastAsia="仿宋_GB2312" w:cs="仿宋_GB2312"/>
                <w:sz w:val="24"/>
                <w:szCs w:val="24"/>
              </w:rPr>
              <w:t>分</w:t>
            </w:r>
            <w:r>
              <w:rPr>
                <w:rFonts w:hint="eastAsia" w:ascii="仿宋_GB2312" w:hAnsi="仿宋_GB2312" w:eastAsia="仿宋_GB2312" w:cs="仿宋_GB2312"/>
                <w:sz w:val="24"/>
                <w:szCs w:val="24"/>
                <w:lang w:val="en-US" w:eastAsia="zh-CN"/>
              </w:rPr>
              <w:t>）</w:t>
            </w:r>
          </w:p>
        </w:tc>
        <w:tc>
          <w:tcPr>
            <w:tcW w:w="4965" w:type="dxa"/>
            <w:vAlign w:val="center"/>
          </w:tcPr>
          <w:p>
            <w:pPr>
              <w:numPr>
                <w:ilvl w:val="0"/>
                <w:numId w:val="3"/>
              </w:numPr>
              <w:ind w:firstLine="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供应商具有</w:t>
            </w:r>
            <w:r>
              <w:rPr>
                <w:rFonts w:hint="eastAsia" w:ascii="仿宋_GB2312" w:hAnsi="仿宋_GB2312" w:eastAsia="仿宋_GB2312" w:cs="仿宋_GB2312"/>
                <w:sz w:val="24"/>
                <w:szCs w:val="24"/>
                <w:lang w:val="en-US" w:eastAsia="zh-CN"/>
              </w:rPr>
              <w:t>2018年以来</w:t>
            </w:r>
            <w:r>
              <w:rPr>
                <w:rFonts w:hint="eastAsia" w:ascii="仿宋_GB2312" w:hAnsi="仿宋_GB2312" w:eastAsia="仿宋_GB2312" w:cs="仿宋_GB2312"/>
                <w:sz w:val="24"/>
                <w:szCs w:val="24"/>
              </w:rPr>
              <w:t>规划类（含发展规划、战略规划、产业规划等）</w:t>
            </w:r>
            <w:r>
              <w:rPr>
                <w:rFonts w:hint="eastAsia" w:ascii="仿宋_GB2312" w:hAnsi="仿宋_GB2312" w:eastAsia="仿宋_GB2312" w:cs="仿宋_GB2312"/>
                <w:sz w:val="24"/>
                <w:szCs w:val="24"/>
                <w:highlight w:val="none"/>
              </w:rPr>
              <w:t>编制或评估</w:t>
            </w:r>
            <w:r>
              <w:rPr>
                <w:rFonts w:hint="eastAsia" w:ascii="仿宋_GB2312" w:hAnsi="仿宋_GB2312" w:eastAsia="仿宋_GB2312" w:cs="仿宋_GB2312"/>
                <w:sz w:val="24"/>
                <w:szCs w:val="24"/>
              </w:rPr>
              <w:t>项目业绩，每个</w:t>
            </w: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分，共</w:t>
            </w:r>
            <w:r>
              <w:rPr>
                <w:rFonts w:hint="eastAsia" w:ascii="仿宋_GB2312" w:hAnsi="仿宋_GB2312" w:eastAsia="仿宋_GB2312" w:cs="仿宋_GB2312"/>
                <w:sz w:val="24"/>
                <w:szCs w:val="24"/>
                <w:lang w:val="en-US" w:eastAsia="zh-CN"/>
              </w:rPr>
              <w:t>6</w:t>
            </w:r>
            <w:r>
              <w:rPr>
                <w:rFonts w:hint="eastAsia" w:ascii="仿宋_GB2312" w:hAnsi="仿宋_GB2312" w:eastAsia="仿宋_GB2312" w:cs="仿宋_GB2312"/>
                <w:sz w:val="24"/>
                <w:szCs w:val="24"/>
              </w:rPr>
              <w:t>分；</w:t>
            </w:r>
          </w:p>
          <w:p>
            <w:pPr>
              <w:numPr>
                <w:ilvl w:val="0"/>
                <w:numId w:val="3"/>
              </w:numPr>
              <w:ind w:firstLine="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供应商具有</w:t>
            </w:r>
            <w:r>
              <w:rPr>
                <w:rFonts w:hint="eastAsia" w:ascii="仿宋_GB2312" w:hAnsi="仿宋_GB2312" w:eastAsia="仿宋_GB2312" w:cs="仿宋_GB2312"/>
                <w:sz w:val="24"/>
                <w:szCs w:val="24"/>
                <w:lang w:val="en-US" w:eastAsia="zh-CN"/>
              </w:rPr>
              <w:t>2018年以来省属企业集团公司本级或省级政府部门</w:t>
            </w:r>
            <w:r>
              <w:rPr>
                <w:rFonts w:hint="eastAsia" w:ascii="仿宋_GB2312" w:hAnsi="仿宋_GB2312" w:eastAsia="仿宋_GB2312" w:cs="仿宋_GB2312"/>
                <w:sz w:val="24"/>
                <w:szCs w:val="24"/>
              </w:rPr>
              <w:t>规划类（含发展规划、战略规划、产业规划等）</w:t>
            </w:r>
            <w:r>
              <w:rPr>
                <w:rFonts w:hint="eastAsia" w:ascii="仿宋_GB2312" w:hAnsi="仿宋_GB2312" w:eastAsia="仿宋_GB2312" w:cs="仿宋_GB2312"/>
                <w:sz w:val="24"/>
                <w:szCs w:val="24"/>
                <w:highlight w:val="none"/>
              </w:rPr>
              <w:t>编制或评估</w:t>
            </w:r>
            <w:r>
              <w:rPr>
                <w:rFonts w:hint="eastAsia" w:ascii="仿宋_GB2312" w:hAnsi="仿宋_GB2312" w:eastAsia="仿宋_GB2312" w:cs="仿宋_GB2312"/>
                <w:sz w:val="24"/>
                <w:szCs w:val="24"/>
                <w:lang w:val="en-US" w:eastAsia="zh-CN"/>
              </w:rPr>
              <w:t>项目</w:t>
            </w:r>
            <w:r>
              <w:rPr>
                <w:rFonts w:hint="eastAsia" w:ascii="仿宋_GB2312" w:hAnsi="仿宋_GB2312" w:eastAsia="仿宋_GB2312" w:cs="仿宋_GB2312"/>
                <w:sz w:val="24"/>
                <w:szCs w:val="24"/>
              </w:rPr>
              <w:t>业绩，每个</w:t>
            </w: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分，共</w:t>
            </w:r>
            <w:r>
              <w:rPr>
                <w:rFonts w:hint="eastAsia" w:ascii="仿宋_GB2312" w:hAnsi="仿宋_GB2312" w:eastAsia="仿宋_GB2312" w:cs="仿宋_GB2312"/>
                <w:sz w:val="24"/>
                <w:szCs w:val="24"/>
                <w:lang w:val="en-US" w:eastAsia="zh-CN"/>
              </w:rPr>
              <w:t>6</w:t>
            </w:r>
            <w:r>
              <w:rPr>
                <w:rFonts w:hint="eastAsia" w:ascii="仿宋_GB2312" w:hAnsi="仿宋_GB2312" w:eastAsia="仿宋_GB2312" w:cs="仿宋_GB2312"/>
                <w:sz w:val="24"/>
                <w:szCs w:val="24"/>
              </w:rPr>
              <w:t>分</w:t>
            </w:r>
            <w:r>
              <w:rPr>
                <w:rFonts w:hint="eastAsia" w:ascii="仿宋_GB2312" w:hAnsi="仿宋_GB2312" w:eastAsia="仿宋_GB2312" w:cs="仿宋_GB2312"/>
                <w:sz w:val="24"/>
                <w:szCs w:val="24"/>
                <w:lang w:eastAsia="zh-CN"/>
              </w:rPr>
              <w:t>。</w:t>
            </w:r>
          </w:p>
          <w:p>
            <w:pPr>
              <w:numPr>
                <w:ilvl w:val="0"/>
                <w:numId w:val="3"/>
              </w:numPr>
              <w:ind w:firstLine="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供应商具有2018年以来以环保产业为主业的省属企业或大型企业(按照国家企业类型的划分标准）的规划类</w:t>
            </w:r>
            <w:r>
              <w:rPr>
                <w:rFonts w:hint="eastAsia" w:ascii="仿宋_GB2312" w:hAnsi="仿宋_GB2312" w:eastAsia="仿宋_GB2312" w:cs="仿宋_GB2312"/>
                <w:sz w:val="24"/>
                <w:szCs w:val="24"/>
              </w:rPr>
              <w:t>（含发展规划、战略规划、产业规划等）</w:t>
            </w:r>
            <w:r>
              <w:rPr>
                <w:rFonts w:hint="eastAsia" w:ascii="仿宋_GB2312" w:hAnsi="仿宋_GB2312" w:eastAsia="仿宋_GB2312" w:cs="仿宋_GB2312"/>
                <w:sz w:val="24"/>
                <w:szCs w:val="24"/>
                <w:highlight w:val="none"/>
              </w:rPr>
              <w:t>编制或评估</w:t>
            </w:r>
            <w:r>
              <w:rPr>
                <w:rFonts w:hint="eastAsia" w:ascii="仿宋_GB2312" w:hAnsi="仿宋_GB2312" w:eastAsia="仿宋_GB2312" w:cs="仿宋_GB2312"/>
                <w:sz w:val="24"/>
                <w:szCs w:val="24"/>
                <w:lang w:val="en-US" w:eastAsia="zh-CN"/>
              </w:rPr>
              <w:t>项目</w:t>
            </w:r>
            <w:r>
              <w:rPr>
                <w:rFonts w:hint="eastAsia" w:ascii="仿宋_GB2312" w:hAnsi="仿宋_GB2312" w:eastAsia="仿宋_GB2312" w:cs="仿宋_GB2312"/>
                <w:sz w:val="24"/>
                <w:szCs w:val="24"/>
              </w:rPr>
              <w:t>业绩，</w:t>
            </w:r>
            <w:r>
              <w:rPr>
                <w:rFonts w:hint="eastAsia" w:ascii="仿宋_GB2312" w:hAnsi="仿宋_GB2312" w:eastAsia="仿宋_GB2312" w:cs="仿宋_GB2312"/>
                <w:sz w:val="24"/>
                <w:szCs w:val="24"/>
                <w:lang w:val="en-US" w:eastAsia="zh-CN"/>
              </w:rPr>
              <w:t>每个3分，共3分。</w:t>
            </w:r>
          </w:p>
          <w:p>
            <w:pPr>
              <w:numPr>
                <w:numId w:val="0"/>
              </w:numPr>
              <w:ind w:firstLine="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可重复计分</w:t>
            </w:r>
            <w:r>
              <w:rPr>
                <w:rFonts w:hint="eastAsia" w:ascii="仿宋_GB2312" w:hAnsi="仿宋_GB2312" w:eastAsia="仿宋_GB2312" w:cs="仿宋_GB2312"/>
                <w:sz w:val="24"/>
                <w:szCs w:val="24"/>
                <w:lang w:eastAsia="zh-CN"/>
              </w:rPr>
              <w:t>）</w:t>
            </w:r>
          </w:p>
          <w:p>
            <w:pPr>
              <w:numPr>
                <w:numId w:val="0"/>
              </w:numPr>
              <w:ind w:firstLine="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注：提供合同或相关证明材料，合同时间以签约时间为准。</w:t>
            </w:r>
          </w:p>
        </w:tc>
        <w:tc>
          <w:tcPr>
            <w:tcW w:w="1227" w:type="dxa"/>
            <w:vAlign w:val="center"/>
          </w:tcPr>
          <w:p>
            <w:pPr>
              <w:ind w:firstLine="0"/>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70" w:hRule="atLeast"/>
        </w:trPr>
        <w:tc>
          <w:tcPr>
            <w:tcW w:w="853" w:type="dxa"/>
            <w:vMerge w:val="continue"/>
            <w:vAlign w:val="center"/>
          </w:tcPr>
          <w:p>
            <w:pPr>
              <w:ind w:firstLine="0"/>
              <w:jc w:val="center"/>
              <w:rPr>
                <w:rFonts w:hint="eastAsia" w:ascii="仿宋_GB2312" w:hAnsi="仿宋_GB2312" w:eastAsia="仿宋_GB2312" w:cs="仿宋_GB2312"/>
                <w:sz w:val="24"/>
                <w:szCs w:val="24"/>
              </w:rPr>
            </w:pPr>
          </w:p>
        </w:tc>
        <w:tc>
          <w:tcPr>
            <w:tcW w:w="1477" w:type="dxa"/>
            <w:vAlign w:val="center"/>
          </w:tcPr>
          <w:p>
            <w:pPr>
              <w:ind w:firstLine="0"/>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供应商</w:t>
            </w:r>
            <w:r>
              <w:rPr>
                <w:rFonts w:hint="eastAsia" w:ascii="仿宋_GB2312" w:hAnsi="仿宋_GB2312" w:eastAsia="仿宋_GB2312" w:cs="仿宋_GB2312"/>
                <w:sz w:val="24"/>
                <w:szCs w:val="24"/>
              </w:rPr>
              <w:t>获奖情况</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满分5分</w:t>
            </w:r>
            <w:r>
              <w:rPr>
                <w:rFonts w:hint="eastAsia" w:ascii="仿宋_GB2312" w:hAnsi="仿宋_GB2312" w:eastAsia="仿宋_GB2312" w:cs="仿宋_GB2312"/>
                <w:sz w:val="24"/>
                <w:szCs w:val="24"/>
                <w:lang w:eastAsia="zh-CN"/>
              </w:rPr>
              <w:t>）</w:t>
            </w:r>
          </w:p>
        </w:tc>
        <w:tc>
          <w:tcPr>
            <w:tcW w:w="4965" w:type="dxa"/>
            <w:vAlign w:val="center"/>
          </w:tcPr>
          <w:p>
            <w:pPr>
              <w:ind w:firstLine="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1.评分内容：</w:t>
            </w:r>
          </w:p>
          <w:p>
            <w:pPr>
              <w:ind w:firstLine="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供应商</w:t>
            </w:r>
            <w:r>
              <w:rPr>
                <w:rFonts w:hint="eastAsia" w:ascii="仿宋_GB2312" w:hAnsi="仿宋_GB2312" w:eastAsia="仿宋_GB2312" w:cs="仿宋_GB2312"/>
                <w:sz w:val="24"/>
                <w:szCs w:val="24"/>
              </w:rPr>
              <w:t>承担的研究课题，获得市级及以上级别的奖励或领导批示，或作为市级及以上级别政策文件进行公开发布的，每提供1个得5分，最高得分不超过</w:t>
            </w: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分。</w:t>
            </w:r>
          </w:p>
          <w:p>
            <w:pPr>
              <w:ind w:firstLine="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2.评分依据：</w:t>
            </w:r>
          </w:p>
          <w:p>
            <w:pPr>
              <w:ind w:firstLine="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（1）要求提供相关证明文件。</w:t>
            </w:r>
          </w:p>
          <w:p>
            <w:pPr>
              <w:ind w:firstLine="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（2）以上资料均要求提供扫描件（或官方网站截图），原件备查。评分中出现无证明资料或专家无法凭所提供资料判断是否得分的情况，一律作不得分处理。</w:t>
            </w:r>
          </w:p>
        </w:tc>
        <w:tc>
          <w:tcPr>
            <w:tcW w:w="1227" w:type="dxa"/>
            <w:vAlign w:val="center"/>
          </w:tcPr>
          <w:p>
            <w:pPr>
              <w:ind w:firstLine="0"/>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3" w:type="dxa"/>
            <w:vMerge w:val="continue"/>
            <w:vAlign w:val="center"/>
          </w:tcPr>
          <w:p>
            <w:pPr>
              <w:ind w:firstLine="0"/>
              <w:jc w:val="center"/>
              <w:rPr>
                <w:rFonts w:hint="eastAsia" w:ascii="仿宋_GB2312" w:hAnsi="仿宋_GB2312" w:eastAsia="仿宋_GB2312" w:cs="仿宋_GB2312"/>
                <w:sz w:val="24"/>
                <w:szCs w:val="24"/>
              </w:rPr>
            </w:pPr>
          </w:p>
        </w:tc>
        <w:tc>
          <w:tcPr>
            <w:tcW w:w="1477" w:type="dxa"/>
            <w:vAlign w:val="center"/>
          </w:tcPr>
          <w:p>
            <w:pPr>
              <w:ind w:firstLine="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项目组人员配备</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满分</w:t>
            </w: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分</w:t>
            </w:r>
            <w:r>
              <w:rPr>
                <w:rFonts w:hint="eastAsia" w:ascii="仿宋_GB2312" w:hAnsi="仿宋_GB2312" w:eastAsia="仿宋_GB2312" w:cs="仿宋_GB2312"/>
                <w:sz w:val="24"/>
                <w:szCs w:val="24"/>
                <w:lang w:eastAsia="zh-CN"/>
              </w:rPr>
              <w:t>）</w:t>
            </w:r>
          </w:p>
        </w:tc>
        <w:tc>
          <w:tcPr>
            <w:tcW w:w="4965" w:type="dxa"/>
            <w:vAlign w:val="center"/>
          </w:tcPr>
          <w:p>
            <w:pPr>
              <w:ind w:firstLine="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1.项目负责人：</w:t>
            </w:r>
          </w:p>
          <w:p>
            <w:pPr>
              <w:ind w:firstLine="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具有高级职称，</w:t>
            </w:r>
            <w:r>
              <w:rPr>
                <w:rFonts w:hint="eastAsia" w:ascii="仿宋_GB2312" w:hAnsi="仿宋_GB2312" w:eastAsia="仿宋_GB2312" w:cs="仿宋_GB2312"/>
                <w:sz w:val="24"/>
                <w:szCs w:val="24"/>
                <w:lang w:val="en-US" w:eastAsia="zh-CN"/>
              </w:rPr>
              <w:t>得3</w:t>
            </w:r>
            <w:r>
              <w:rPr>
                <w:rFonts w:hint="eastAsia" w:ascii="仿宋_GB2312" w:hAnsi="仿宋_GB2312" w:eastAsia="仿宋_GB2312" w:cs="仿宋_GB2312"/>
                <w:sz w:val="24"/>
                <w:szCs w:val="24"/>
              </w:rPr>
              <w:t>分</w:t>
            </w:r>
            <w:r>
              <w:rPr>
                <w:rFonts w:hint="eastAsia" w:ascii="仿宋_GB2312" w:hAnsi="仿宋_GB2312" w:eastAsia="仿宋_GB2312" w:cs="仿宋_GB2312"/>
                <w:sz w:val="24"/>
                <w:szCs w:val="24"/>
                <w:lang w:eastAsia="zh-CN"/>
              </w:rPr>
              <w:t>；</w:t>
            </w:r>
          </w:p>
          <w:p>
            <w:pPr>
              <w:ind w:firstLine="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主导过至少1个环保类相关产业规划，</w:t>
            </w:r>
            <w:r>
              <w:rPr>
                <w:rFonts w:hint="eastAsia" w:ascii="仿宋_GB2312" w:hAnsi="仿宋_GB2312" w:eastAsia="仿宋_GB2312" w:cs="仿宋_GB2312"/>
                <w:sz w:val="24"/>
                <w:szCs w:val="24"/>
              </w:rPr>
              <w:t>得</w:t>
            </w: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分</w:t>
            </w:r>
            <w:r>
              <w:rPr>
                <w:rFonts w:hint="eastAsia" w:ascii="仿宋_GB2312" w:hAnsi="仿宋_GB2312" w:eastAsia="仿宋_GB2312" w:cs="仿宋_GB2312"/>
                <w:sz w:val="24"/>
                <w:szCs w:val="24"/>
                <w:lang w:eastAsia="zh-CN"/>
              </w:rPr>
              <w:t>。</w:t>
            </w:r>
          </w:p>
          <w:p>
            <w:pPr>
              <w:pStyle w:val="2"/>
              <w:ind w:left="0" w:leftChars="0" w:firstLine="0" w:firstLineChars="0"/>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注：①</w:t>
            </w:r>
            <w:r>
              <w:rPr>
                <w:rFonts w:hint="eastAsia" w:ascii="仿宋_GB2312" w:hAnsi="仿宋_GB2312" w:eastAsia="仿宋_GB2312" w:cs="仿宋_GB2312"/>
                <w:color w:val="auto"/>
                <w:sz w:val="24"/>
                <w:szCs w:val="24"/>
              </w:rPr>
              <w:t>须在投标文件中提供证书复印件或扫描件，且提供持证人员</w:t>
            </w:r>
            <w:r>
              <w:rPr>
                <w:rFonts w:hint="eastAsia" w:ascii="仿宋_GB2312" w:hAnsi="仿宋_GB2312" w:eastAsia="仿宋_GB2312" w:cs="仿宋_GB2312"/>
                <w:color w:val="auto"/>
                <w:sz w:val="24"/>
                <w:szCs w:val="24"/>
                <w:lang w:val="en-US" w:eastAsia="zh-CN"/>
              </w:rPr>
              <w:t>连续</w:t>
            </w:r>
            <w:r>
              <w:rPr>
                <w:rFonts w:hint="eastAsia" w:ascii="仿宋_GB2312" w:hAnsi="仿宋_GB2312" w:eastAsia="仿宋_GB2312" w:cs="仿宋_GB2312"/>
                <w:color w:val="auto"/>
                <w:sz w:val="24"/>
                <w:szCs w:val="24"/>
              </w:rPr>
              <w:t>三个月（202</w:t>
            </w:r>
            <w:r>
              <w:rPr>
                <w:rFonts w:hint="eastAsia" w:ascii="仿宋_GB2312" w:hAnsi="仿宋_GB2312" w:eastAsia="仿宋_GB2312" w:cs="仿宋_GB2312"/>
                <w:color w:val="auto"/>
                <w:sz w:val="24"/>
                <w:szCs w:val="24"/>
                <w:lang w:val="en-US" w:eastAsia="zh-CN"/>
              </w:rPr>
              <w:t>3</w:t>
            </w:r>
            <w:r>
              <w:rPr>
                <w:rFonts w:hint="eastAsia" w:ascii="仿宋_GB2312" w:hAnsi="仿宋_GB2312" w:eastAsia="仿宋_GB2312" w:cs="仿宋_GB2312"/>
                <w:color w:val="auto"/>
                <w:sz w:val="24"/>
                <w:szCs w:val="24"/>
              </w:rPr>
              <w:t>年</w:t>
            </w:r>
            <w:r>
              <w:rPr>
                <w:rFonts w:hint="eastAsia" w:ascii="仿宋_GB2312" w:hAnsi="仿宋_GB2312" w:eastAsia="仿宋_GB2312" w:cs="仿宋_GB2312"/>
                <w:color w:val="auto"/>
                <w:sz w:val="24"/>
                <w:szCs w:val="24"/>
                <w:lang w:val="en-US" w:eastAsia="zh-CN"/>
              </w:rPr>
              <w:t>10</w:t>
            </w:r>
            <w:r>
              <w:rPr>
                <w:rFonts w:hint="eastAsia" w:ascii="仿宋_GB2312" w:hAnsi="仿宋_GB2312" w:eastAsia="仿宋_GB2312" w:cs="仿宋_GB2312"/>
                <w:color w:val="auto"/>
                <w:sz w:val="24"/>
                <w:szCs w:val="24"/>
              </w:rPr>
              <w:t>月1日以后-至今）在投标单位的社保证明。</w:t>
            </w:r>
            <w:r>
              <w:rPr>
                <w:rFonts w:hint="eastAsia" w:ascii="仿宋_GB2312" w:hAnsi="仿宋_GB2312" w:eastAsia="仿宋_GB2312" w:cs="仿宋_GB2312"/>
                <w:color w:val="auto"/>
                <w:sz w:val="24"/>
                <w:szCs w:val="24"/>
                <w:lang w:val="en-US" w:eastAsia="zh-CN"/>
              </w:rPr>
              <w:t>②须提供相关业绩证明材料（合同或甲方证明）</w:t>
            </w:r>
          </w:p>
          <w:p>
            <w:pPr>
              <w:ind w:firstLine="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2.项目团队：</w:t>
            </w:r>
          </w:p>
          <w:p>
            <w:pPr>
              <w:ind w:firstLine="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项目团队中每提供1位有高级职称</w:t>
            </w:r>
            <w:r>
              <w:rPr>
                <w:rFonts w:hint="eastAsia" w:ascii="仿宋_GB2312" w:hAnsi="仿宋_GB2312" w:eastAsia="仿宋_GB2312" w:cs="仿宋_GB2312"/>
                <w:sz w:val="24"/>
                <w:szCs w:val="24"/>
                <w:lang w:val="en-US" w:eastAsia="zh-CN"/>
              </w:rPr>
              <w:t>人员得3</w:t>
            </w:r>
            <w:r>
              <w:rPr>
                <w:rFonts w:hint="eastAsia" w:ascii="仿宋_GB2312" w:hAnsi="仿宋_GB2312" w:eastAsia="仿宋_GB2312" w:cs="仿宋_GB2312"/>
                <w:sz w:val="24"/>
                <w:szCs w:val="24"/>
              </w:rPr>
              <w:t>分，每提供1位有中级职称得</w:t>
            </w:r>
            <w:r>
              <w:rPr>
                <w:rFonts w:hint="eastAsia" w:ascii="仿宋_GB2312" w:hAnsi="仿宋_GB2312" w:eastAsia="仿宋_GB2312" w:cs="仿宋_GB2312"/>
                <w:sz w:val="24"/>
                <w:szCs w:val="24"/>
                <w:lang w:val="en-US" w:eastAsia="zh-CN"/>
              </w:rPr>
              <w:t>人员</w:t>
            </w:r>
            <w:r>
              <w:rPr>
                <w:rFonts w:hint="eastAsia" w:ascii="仿宋_GB2312" w:hAnsi="仿宋_GB2312" w:eastAsia="仿宋_GB2312" w:cs="仿宋_GB2312"/>
                <w:sz w:val="24"/>
                <w:szCs w:val="24"/>
              </w:rPr>
              <w:t>2分，最高得分不超过1</w:t>
            </w:r>
            <w:r>
              <w:rPr>
                <w:rFonts w:hint="eastAsia" w:ascii="仿宋_GB2312" w:hAnsi="仿宋_GB2312" w:eastAsia="仿宋_GB2312" w:cs="仿宋_GB2312"/>
                <w:sz w:val="24"/>
                <w:szCs w:val="24"/>
                <w:lang w:val="en-US" w:eastAsia="zh-CN"/>
              </w:rPr>
              <w:t>0</w:t>
            </w:r>
            <w:r>
              <w:rPr>
                <w:rFonts w:hint="eastAsia" w:ascii="仿宋_GB2312" w:hAnsi="仿宋_GB2312" w:eastAsia="仿宋_GB2312" w:cs="仿宋_GB2312"/>
                <w:sz w:val="24"/>
                <w:szCs w:val="24"/>
              </w:rPr>
              <w:t>分。</w:t>
            </w:r>
          </w:p>
          <w:p>
            <w:pPr>
              <w:ind w:firstLine="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注：</w:t>
            </w:r>
            <w:r>
              <w:rPr>
                <w:rFonts w:hint="eastAsia" w:ascii="仿宋_GB2312" w:hAnsi="仿宋_GB2312" w:eastAsia="仿宋_GB2312" w:cs="仿宋_GB2312"/>
                <w:sz w:val="24"/>
                <w:szCs w:val="24"/>
              </w:rPr>
              <w:t>须在投标文件中提供证书复印件或扫描件，且提供持证人员</w:t>
            </w:r>
            <w:r>
              <w:rPr>
                <w:rFonts w:hint="eastAsia" w:ascii="仿宋_GB2312" w:hAnsi="仿宋_GB2312" w:eastAsia="仿宋_GB2312" w:cs="仿宋_GB2312"/>
                <w:sz w:val="24"/>
                <w:szCs w:val="24"/>
                <w:lang w:val="en-US" w:eastAsia="zh-CN"/>
              </w:rPr>
              <w:t>连续</w:t>
            </w:r>
            <w:r>
              <w:rPr>
                <w:rFonts w:hint="eastAsia" w:ascii="仿宋_GB2312" w:hAnsi="仿宋_GB2312" w:eastAsia="仿宋_GB2312" w:cs="仿宋_GB2312"/>
                <w:sz w:val="24"/>
                <w:szCs w:val="24"/>
              </w:rPr>
              <w:t>三个月（202</w:t>
            </w: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lang w:val="en-US" w:eastAsia="zh-CN"/>
              </w:rPr>
              <w:t>10</w:t>
            </w:r>
            <w:r>
              <w:rPr>
                <w:rFonts w:hint="eastAsia" w:ascii="仿宋_GB2312" w:hAnsi="仿宋_GB2312" w:eastAsia="仿宋_GB2312" w:cs="仿宋_GB2312"/>
                <w:sz w:val="24"/>
                <w:szCs w:val="24"/>
              </w:rPr>
              <w:t>月1日以后-至今）在投标单位的社保证明</w:t>
            </w:r>
            <w:r>
              <w:rPr>
                <w:rFonts w:hint="eastAsia" w:ascii="仿宋_GB2312" w:hAnsi="仿宋_GB2312" w:eastAsia="仿宋_GB2312" w:cs="仿宋_GB2312"/>
                <w:sz w:val="24"/>
                <w:szCs w:val="24"/>
                <w:lang w:val="en-US" w:eastAsia="zh-CN"/>
              </w:rPr>
              <w:t>。</w:t>
            </w:r>
          </w:p>
        </w:tc>
        <w:tc>
          <w:tcPr>
            <w:tcW w:w="1227" w:type="dxa"/>
            <w:vAlign w:val="center"/>
          </w:tcPr>
          <w:p>
            <w:pPr>
              <w:ind w:firstLine="0"/>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3" w:type="dxa"/>
            <w:vMerge w:val="continue"/>
            <w:vAlign w:val="center"/>
          </w:tcPr>
          <w:p>
            <w:pPr>
              <w:ind w:firstLine="0"/>
              <w:jc w:val="center"/>
              <w:rPr>
                <w:rFonts w:hint="eastAsia" w:ascii="仿宋_GB2312" w:hAnsi="仿宋_GB2312" w:eastAsia="仿宋_GB2312" w:cs="仿宋_GB2312"/>
                <w:sz w:val="24"/>
                <w:szCs w:val="24"/>
              </w:rPr>
            </w:pPr>
          </w:p>
        </w:tc>
        <w:tc>
          <w:tcPr>
            <w:tcW w:w="1477" w:type="dxa"/>
            <w:vAlign w:val="center"/>
          </w:tcPr>
          <w:p>
            <w:pPr>
              <w:ind w:firstLine="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质量保障及工作进度（满分</w:t>
            </w: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分</w:t>
            </w:r>
            <w:r>
              <w:rPr>
                <w:rFonts w:hint="eastAsia" w:ascii="仿宋_GB2312" w:hAnsi="仿宋_GB2312" w:eastAsia="仿宋_GB2312" w:cs="仿宋_GB2312"/>
                <w:sz w:val="24"/>
                <w:szCs w:val="24"/>
                <w:lang w:val="en-US" w:eastAsia="zh-CN"/>
              </w:rPr>
              <w:t>）</w:t>
            </w:r>
          </w:p>
        </w:tc>
        <w:tc>
          <w:tcPr>
            <w:tcW w:w="4965" w:type="dxa"/>
            <w:vAlign w:val="center"/>
          </w:tcPr>
          <w:p>
            <w:pPr>
              <w:pStyle w:val="9"/>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根据</w:t>
            </w:r>
            <w:r>
              <w:rPr>
                <w:rFonts w:hint="eastAsia" w:ascii="仿宋_GB2312" w:hAnsi="仿宋_GB2312" w:eastAsia="仿宋_GB2312" w:cs="仿宋_GB2312"/>
                <w:sz w:val="24"/>
                <w:szCs w:val="24"/>
                <w:lang w:eastAsia="zh-CN"/>
              </w:rPr>
              <w:t>供应商</w:t>
            </w:r>
            <w:r>
              <w:rPr>
                <w:rFonts w:hint="eastAsia" w:ascii="仿宋_GB2312" w:hAnsi="仿宋_GB2312" w:eastAsia="仿宋_GB2312" w:cs="仿宋_GB2312"/>
                <w:sz w:val="24"/>
                <w:szCs w:val="24"/>
              </w:rPr>
              <w:t>对项目进度计划和人员安排、质量和进度保障措施是否合理、可行等进行分档评审：</w:t>
            </w:r>
            <w:r>
              <w:rPr>
                <w:rFonts w:hint="eastAsia" w:ascii="仿宋_GB2312" w:hAnsi="仿宋_GB2312" w:eastAsia="仿宋_GB2312" w:cs="仿宋_GB2312"/>
                <w:sz w:val="24"/>
                <w:szCs w:val="24"/>
                <w:lang w:val="en-US" w:eastAsia="zh-CN"/>
              </w:rPr>
              <w:t>根据提供的方案横向比较，不提供不得分</w:t>
            </w:r>
          </w:p>
          <w:p>
            <w:pPr>
              <w:ind w:firstLine="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1.评价为优，得11-15分；</w:t>
            </w:r>
          </w:p>
          <w:p>
            <w:pPr>
              <w:ind w:firstLine="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2.评价为良，得7-10分；</w:t>
            </w:r>
          </w:p>
          <w:p>
            <w:pPr>
              <w:ind w:firstLine="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3.评价为中，得4-6分；</w:t>
            </w:r>
          </w:p>
          <w:p>
            <w:pPr>
              <w:ind w:firstLine="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4.评价为差，得1-3分。</w:t>
            </w:r>
          </w:p>
        </w:tc>
        <w:tc>
          <w:tcPr>
            <w:tcW w:w="1227" w:type="dxa"/>
            <w:vAlign w:val="center"/>
          </w:tcPr>
          <w:p>
            <w:pPr>
              <w:ind w:firstLine="0"/>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3" w:type="dxa"/>
            <w:vMerge w:val="continue"/>
            <w:vAlign w:val="center"/>
          </w:tcPr>
          <w:p>
            <w:pPr>
              <w:ind w:firstLine="0"/>
              <w:jc w:val="center"/>
              <w:rPr>
                <w:rFonts w:hint="eastAsia" w:ascii="仿宋_GB2312" w:hAnsi="仿宋_GB2312" w:eastAsia="仿宋_GB2312" w:cs="仿宋_GB2312"/>
                <w:sz w:val="24"/>
                <w:szCs w:val="24"/>
              </w:rPr>
            </w:pPr>
          </w:p>
        </w:tc>
        <w:tc>
          <w:tcPr>
            <w:tcW w:w="1477" w:type="dxa"/>
            <w:vAlign w:val="center"/>
          </w:tcPr>
          <w:p>
            <w:pPr>
              <w:ind w:firstLine="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保密措施</w:t>
            </w:r>
          </w:p>
          <w:p>
            <w:pPr>
              <w:ind w:firstLine="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（满分10</w:t>
            </w:r>
            <w:r>
              <w:rPr>
                <w:rFonts w:hint="eastAsia" w:ascii="仿宋_GB2312" w:hAnsi="仿宋_GB2312" w:eastAsia="仿宋_GB2312" w:cs="仿宋_GB2312"/>
                <w:sz w:val="24"/>
                <w:szCs w:val="24"/>
              </w:rPr>
              <w:t>分</w:t>
            </w:r>
            <w:r>
              <w:rPr>
                <w:rFonts w:hint="eastAsia" w:ascii="仿宋_GB2312" w:hAnsi="仿宋_GB2312" w:eastAsia="仿宋_GB2312" w:cs="仿宋_GB2312"/>
                <w:sz w:val="24"/>
                <w:szCs w:val="24"/>
                <w:lang w:val="en-US" w:eastAsia="zh-CN"/>
              </w:rPr>
              <w:t>）</w:t>
            </w:r>
          </w:p>
        </w:tc>
        <w:tc>
          <w:tcPr>
            <w:tcW w:w="4965" w:type="dxa"/>
            <w:vAlign w:val="center"/>
          </w:tcPr>
          <w:p>
            <w:pPr>
              <w:pStyle w:val="9"/>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根据供应商对</w:t>
            </w:r>
            <w:r>
              <w:rPr>
                <w:rFonts w:hint="eastAsia" w:ascii="仿宋_GB2312" w:hAnsi="仿宋_GB2312" w:eastAsia="仿宋_GB2312" w:cs="仿宋_GB2312"/>
                <w:sz w:val="24"/>
                <w:szCs w:val="24"/>
              </w:rPr>
              <w:t>保密承诺内容</w:t>
            </w:r>
            <w:r>
              <w:rPr>
                <w:rFonts w:hint="eastAsia" w:ascii="仿宋_GB2312" w:hAnsi="仿宋_GB2312" w:eastAsia="仿宋_GB2312" w:cs="仿宋_GB2312"/>
                <w:sz w:val="24"/>
                <w:szCs w:val="24"/>
                <w:lang w:val="en-US" w:eastAsia="zh-CN"/>
              </w:rPr>
              <w:t>是否</w:t>
            </w:r>
            <w:r>
              <w:rPr>
                <w:rFonts w:hint="eastAsia" w:ascii="仿宋_GB2312" w:hAnsi="仿宋_GB2312" w:eastAsia="仿宋_GB2312" w:cs="仿宋_GB2312"/>
                <w:sz w:val="24"/>
                <w:szCs w:val="24"/>
              </w:rPr>
              <w:t>全面、清晰，</w:t>
            </w:r>
            <w:r>
              <w:rPr>
                <w:rFonts w:hint="eastAsia" w:ascii="仿宋_GB2312" w:hAnsi="仿宋_GB2312" w:eastAsia="仿宋_GB2312" w:cs="仿宋_GB2312"/>
                <w:sz w:val="24"/>
                <w:szCs w:val="24"/>
                <w:lang w:val="en-US" w:eastAsia="zh-CN"/>
              </w:rPr>
              <w:t>是否</w:t>
            </w:r>
            <w:r>
              <w:rPr>
                <w:rFonts w:hint="eastAsia" w:ascii="仿宋_GB2312" w:hAnsi="仿宋_GB2312" w:eastAsia="仿宋_GB2312" w:cs="仿宋_GB2312"/>
                <w:sz w:val="24"/>
                <w:szCs w:val="24"/>
              </w:rPr>
              <w:t>贴合实际，措施详尽、可行</w:t>
            </w:r>
            <w:r>
              <w:rPr>
                <w:rFonts w:hint="eastAsia" w:ascii="仿宋_GB2312" w:hAnsi="仿宋_GB2312" w:eastAsia="仿宋_GB2312" w:cs="仿宋_GB2312"/>
                <w:sz w:val="24"/>
                <w:szCs w:val="24"/>
                <w:lang w:val="en-US" w:eastAsia="zh-CN"/>
              </w:rPr>
              <w:t>等进行分档评审：根据提供的方案横向比较，不提供不得分</w:t>
            </w:r>
          </w:p>
          <w:p>
            <w:pPr>
              <w:pStyle w:val="9"/>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1.评价为优，得</w:t>
            </w:r>
            <w:r>
              <w:rPr>
                <w:rFonts w:hint="eastAsia" w:ascii="仿宋_GB2312" w:hAnsi="仿宋_GB2312" w:eastAsia="仿宋_GB2312" w:cs="仿宋_GB2312"/>
                <w:sz w:val="24"/>
                <w:szCs w:val="24"/>
                <w:lang w:val="en-US" w:eastAsia="zh-CN"/>
              </w:rPr>
              <w:t>8</w:t>
            </w: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val="en-US" w:eastAsia="zh-CN"/>
              </w:rPr>
              <w:t>0</w:t>
            </w:r>
            <w:r>
              <w:rPr>
                <w:rFonts w:hint="eastAsia" w:ascii="仿宋_GB2312" w:hAnsi="仿宋_GB2312" w:eastAsia="仿宋_GB2312" w:cs="仿宋_GB2312"/>
                <w:sz w:val="24"/>
                <w:szCs w:val="24"/>
              </w:rPr>
              <w:t>分；</w:t>
            </w:r>
          </w:p>
          <w:p>
            <w:pPr>
              <w:ind w:firstLine="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2.评价为良，得</w:t>
            </w: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7</w:t>
            </w:r>
            <w:r>
              <w:rPr>
                <w:rFonts w:hint="eastAsia" w:ascii="仿宋_GB2312" w:hAnsi="仿宋_GB2312" w:eastAsia="仿宋_GB2312" w:cs="仿宋_GB2312"/>
                <w:sz w:val="24"/>
                <w:szCs w:val="24"/>
              </w:rPr>
              <w:t>分；</w:t>
            </w:r>
          </w:p>
          <w:p>
            <w:pPr>
              <w:ind w:firstLine="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3.评价为中，得</w:t>
            </w: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分；</w:t>
            </w:r>
          </w:p>
          <w:p>
            <w:pPr>
              <w:ind w:firstLine="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4.评价为差，得</w:t>
            </w:r>
            <w:r>
              <w:rPr>
                <w:rFonts w:hint="eastAsia" w:ascii="仿宋_GB2312" w:hAnsi="仿宋_GB2312" w:eastAsia="仿宋_GB2312" w:cs="仿宋_GB2312"/>
                <w:sz w:val="24"/>
                <w:szCs w:val="24"/>
                <w:lang w:val="en-US" w:eastAsia="zh-CN"/>
              </w:rPr>
              <w:t>0</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分。</w:t>
            </w:r>
          </w:p>
        </w:tc>
        <w:tc>
          <w:tcPr>
            <w:tcW w:w="1227" w:type="dxa"/>
            <w:vAlign w:val="center"/>
          </w:tcPr>
          <w:p>
            <w:pPr>
              <w:ind w:firstLine="0"/>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3" w:type="dxa"/>
            <w:vMerge w:val="continue"/>
            <w:vAlign w:val="center"/>
          </w:tcPr>
          <w:p>
            <w:pPr>
              <w:ind w:firstLine="0"/>
              <w:jc w:val="center"/>
              <w:rPr>
                <w:rFonts w:hint="eastAsia" w:ascii="仿宋_GB2312" w:hAnsi="仿宋_GB2312" w:eastAsia="仿宋_GB2312" w:cs="仿宋_GB2312"/>
                <w:sz w:val="24"/>
                <w:szCs w:val="24"/>
              </w:rPr>
            </w:pPr>
          </w:p>
        </w:tc>
        <w:tc>
          <w:tcPr>
            <w:tcW w:w="1477" w:type="dxa"/>
            <w:vAlign w:val="center"/>
          </w:tcPr>
          <w:p>
            <w:pPr>
              <w:ind w:firstLine="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违约承诺（满分5</w:t>
            </w:r>
            <w:r>
              <w:rPr>
                <w:rFonts w:hint="eastAsia" w:ascii="仿宋_GB2312" w:hAnsi="仿宋_GB2312" w:eastAsia="仿宋_GB2312" w:cs="仿宋_GB2312"/>
                <w:sz w:val="24"/>
                <w:szCs w:val="24"/>
              </w:rPr>
              <w:t>分</w:t>
            </w:r>
            <w:r>
              <w:rPr>
                <w:rFonts w:hint="eastAsia" w:ascii="仿宋_GB2312" w:hAnsi="仿宋_GB2312" w:eastAsia="仿宋_GB2312" w:cs="仿宋_GB2312"/>
                <w:sz w:val="24"/>
                <w:szCs w:val="24"/>
                <w:lang w:val="en-US" w:eastAsia="zh-CN"/>
              </w:rPr>
              <w:t>）</w:t>
            </w:r>
          </w:p>
        </w:tc>
        <w:tc>
          <w:tcPr>
            <w:tcW w:w="4965" w:type="dxa"/>
            <w:vAlign w:val="center"/>
          </w:tcPr>
          <w:p>
            <w:pPr>
              <w:pStyle w:val="9"/>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提供违约承诺（格式自拟），承诺满足招标文件要求，保证措施合理且有针对性，有具体的违约责任承诺，</w:t>
            </w:r>
            <w:r>
              <w:rPr>
                <w:rFonts w:hint="eastAsia" w:ascii="仿宋_GB2312" w:hAnsi="仿宋_GB2312" w:eastAsia="仿宋_GB2312" w:cs="仿宋_GB2312"/>
                <w:sz w:val="24"/>
                <w:szCs w:val="24"/>
                <w:lang w:eastAsia="zh-CN"/>
              </w:rPr>
              <w:t>供应商</w:t>
            </w:r>
            <w:r>
              <w:rPr>
                <w:rFonts w:hint="eastAsia" w:ascii="仿宋_GB2312" w:hAnsi="仿宋_GB2312" w:eastAsia="仿宋_GB2312" w:cs="仿宋_GB2312"/>
                <w:sz w:val="24"/>
                <w:szCs w:val="24"/>
              </w:rPr>
              <w:t>提供违约承诺得5分，</w:t>
            </w:r>
            <w:r>
              <w:rPr>
                <w:rFonts w:hint="eastAsia" w:ascii="仿宋_GB2312" w:hAnsi="仿宋_GB2312" w:eastAsia="仿宋_GB2312" w:cs="仿宋_GB2312"/>
                <w:sz w:val="24"/>
                <w:szCs w:val="24"/>
                <w:lang w:val="en-US" w:eastAsia="zh-CN"/>
              </w:rPr>
              <w:t>未提供承诺或承诺内容未包含具体违约责任的，不得分</w:t>
            </w:r>
            <w:r>
              <w:rPr>
                <w:rFonts w:hint="eastAsia" w:ascii="仿宋_GB2312" w:hAnsi="仿宋_GB2312" w:eastAsia="仿宋_GB2312" w:cs="仿宋_GB2312"/>
                <w:sz w:val="24"/>
                <w:szCs w:val="24"/>
              </w:rPr>
              <w:t>。</w:t>
            </w:r>
          </w:p>
        </w:tc>
        <w:tc>
          <w:tcPr>
            <w:tcW w:w="1227" w:type="dxa"/>
            <w:vAlign w:val="center"/>
          </w:tcPr>
          <w:p>
            <w:pPr>
              <w:ind w:firstLine="0"/>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3" w:type="dxa"/>
            <w:vAlign w:val="center"/>
          </w:tcPr>
          <w:p>
            <w:pPr>
              <w:ind w:firstLine="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商务</w:t>
            </w:r>
            <w:r>
              <w:rPr>
                <w:rFonts w:hint="eastAsia" w:ascii="仿宋_GB2312" w:hAnsi="仿宋_GB2312" w:eastAsia="仿宋_GB2312" w:cs="仿宋_GB2312"/>
                <w:sz w:val="24"/>
                <w:szCs w:val="24"/>
                <w:lang w:val="en-US" w:eastAsia="zh-CN"/>
              </w:rPr>
              <w:t>部 分</w:t>
            </w:r>
          </w:p>
          <w:p>
            <w:pPr>
              <w:ind w:firstLine="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10分</w:t>
            </w:r>
          </w:p>
        </w:tc>
        <w:tc>
          <w:tcPr>
            <w:tcW w:w="1477" w:type="dxa"/>
            <w:vAlign w:val="center"/>
          </w:tcPr>
          <w:p>
            <w:pPr>
              <w:ind w:firstLine="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响应报价</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满分10</w:t>
            </w:r>
            <w:r>
              <w:rPr>
                <w:rFonts w:hint="eastAsia" w:ascii="仿宋_GB2312" w:hAnsi="仿宋_GB2312" w:eastAsia="仿宋_GB2312" w:cs="仿宋_GB2312"/>
                <w:sz w:val="24"/>
                <w:szCs w:val="24"/>
              </w:rPr>
              <w:t>分</w:t>
            </w:r>
            <w:r>
              <w:rPr>
                <w:rFonts w:hint="eastAsia" w:ascii="仿宋_GB2312" w:hAnsi="仿宋_GB2312" w:eastAsia="仿宋_GB2312" w:cs="仿宋_GB2312"/>
                <w:sz w:val="24"/>
                <w:szCs w:val="24"/>
                <w:lang w:eastAsia="zh-CN"/>
              </w:rPr>
              <w:t>）</w:t>
            </w:r>
          </w:p>
        </w:tc>
        <w:tc>
          <w:tcPr>
            <w:tcW w:w="4965" w:type="dxa"/>
            <w:vAlign w:val="center"/>
          </w:tcPr>
          <w:p>
            <w:pPr>
              <w:ind w:firstLine="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投标报价有效最低价为基准分(低于平均价格的70%的报价为无效报价)，基准分值为</w:t>
            </w:r>
            <w:r>
              <w:rPr>
                <w:rFonts w:hint="eastAsia" w:ascii="仿宋_GB2312" w:hAnsi="仿宋_GB2312" w:eastAsia="仿宋_GB2312" w:cs="仿宋_GB2312"/>
                <w:sz w:val="24"/>
                <w:szCs w:val="24"/>
                <w:lang w:val="en-US" w:eastAsia="zh-CN"/>
              </w:rPr>
              <w:t>10</w:t>
            </w:r>
            <w:r>
              <w:rPr>
                <w:rFonts w:hint="eastAsia" w:ascii="仿宋_GB2312" w:hAnsi="仿宋_GB2312" w:eastAsia="仿宋_GB2312" w:cs="仿宋_GB2312"/>
                <w:sz w:val="24"/>
                <w:szCs w:val="24"/>
              </w:rPr>
              <w:t>分，每高于基准价格1%扣1分(偏差率根据四舍五入原则精确到个位数)</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超采购预算的投标报价为无效报价。</w:t>
            </w:r>
          </w:p>
        </w:tc>
        <w:tc>
          <w:tcPr>
            <w:tcW w:w="1227" w:type="dxa"/>
            <w:vAlign w:val="center"/>
          </w:tcPr>
          <w:p>
            <w:pPr>
              <w:ind w:firstLine="0"/>
              <w:rPr>
                <w:rFonts w:hint="eastAsia" w:ascii="仿宋_GB2312" w:hAnsi="仿宋_GB2312" w:eastAsia="仿宋_GB2312" w:cs="仿宋_GB2312"/>
                <w:sz w:val="24"/>
                <w:szCs w:val="24"/>
              </w:rPr>
            </w:pPr>
          </w:p>
        </w:tc>
      </w:tr>
    </w:tbl>
    <w:p>
      <w:pPr>
        <w:pStyle w:val="10"/>
        <w:rPr>
          <w:rFonts w:hint="eastAsia"/>
        </w:rPr>
      </w:pPr>
    </w:p>
    <w:p>
      <w:pPr>
        <w:pStyle w:val="26"/>
        <w:jc w:val="both"/>
        <w:rPr>
          <w:rStyle w:val="20"/>
          <w:rFonts w:ascii="仿宋" w:hAnsi="仿宋" w:eastAsia="仿宋" w:cs="仿宋"/>
          <w:b w:val="0"/>
          <w:bCs w:val="0"/>
          <w:color w:val="auto"/>
          <w:kern w:val="0"/>
          <w:sz w:val="32"/>
          <w:szCs w:val="32"/>
          <w:shd w:val="clear" w:color="0D0000" w:fill="FFFFFF"/>
        </w:rPr>
      </w:pPr>
    </w:p>
    <w:sectPr>
      <w:headerReference r:id="rId4" w:type="default"/>
      <w:footerReference r:id="rId5"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auto"/>
    <w:pitch w:val="default"/>
    <w:sig w:usb0="E4002EFF" w:usb1="C000247B" w:usb2="00000009" w:usb3="00000000" w:csb0="200001FF" w:csb1="00000000"/>
  </w:font>
  <w:font w:name="Garamond">
    <w:altName w:val="Segoe Print"/>
    <w:panose1 w:val="02020404030301010803"/>
    <w:charset w:val="00"/>
    <w:family w:val="auto"/>
    <w:pitch w:val="default"/>
    <w:sig w:usb0="00000000" w:usb1="00000000" w:usb2="00000000" w:usb3="00000000" w:csb0="0000009F" w:csb1="DFD7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16"/>
    </w:pPr>
    <w:r>
      <w:rPr>
        <w:rFonts w:ascii="Calibri" w:hAnsi="Calibri" w:eastAsia="宋体" w:cs="黑体"/>
        <w:kern w:val="2"/>
        <w:sz w:val="18"/>
        <w:szCs w:val="18"/>
        <w:lang w:val="en-US" w:eastAsia="zh-CN" w:bidi="ar-SA"/>
      </w:rPr>
      <w:pict>
        <v:rect id="文本框 1" o:spid="_x0000_s1025" style="position:absolute;left:0;margin-top:0pt;height:12.8pt;width:10.65pt;mso-position-horizontal:center;mso-position-horizontal-relative:margin;mso-wrap-style:none;rotation:0f;z-index:251658240;" o:ole="f" fillcolor="#FFFFFF" filled="f" o:preferrelative="t" stroked="f" coordsize="21600,21600">
          <v:fill on="f" color2="#FFFFFF" focus="0%"/>
          <v:imagedata gain="65536f" blacklevel="0f" gamma="0"/>
          <o:lock v:ext="edit" position="f" selection="f" grouping="f" rotation="f" cropping="f" text="f" aspectratio="f"/>
          <v:textbox inset="0.00pt,0.00pt,0.00pt,0.00pt" style="mso-fit-shape-to-text:t;">
            <w:txbxContent>
              <w:p>
                <w:pPr>
                  <w:pStyle w:val="16"/>
                  <w:rPr>
                    <w:sz w:val="21"/>
                    <w:szCs w:val="21"/>
                  </w:rPr>
                </w:pPr>
                <w:r>
                  <w:rPr>
                    <w:rFonts w:hint="eastAsia"/>
                    <w:sz w:val="21"/>
                    <w:szCs w:val="21"/>
                  </w:rPr>
                  <w:fldChar w:fldCharType="begin"/>
                </w:r>
                <w:r>
                  <w:rPr>
                    <w:rFonts w:hint="eastAsia"/>
                    <w:sz w:val="21"/>
                    <w:szCs w:val="21"/>
                  </w:rPr>
                  <w:instrText xml:space="preserve"> PAGE  \* MERGEFORMAT </w:instrText>
                </w:r>
                <w:r>
                  <w:rPr>
                    <w:rFonts w:hint="eastAsia"/>
                    <w:sz w:val="21"/>
                    <w:szCs w:val="21"/>
                  </w:rPr>
                  <w:fldChar w:fldCharType="separate"/>
                </w:r>
                <w:r>
                  <w:rPr>
                    <w:rFonts w:hint="eastAsia"/>
                    <w:sz w:val="21"/>
                    <w:szCs w:val="21"/>
                  </w:rPr>
                  <w:t>1</w:t>
                </w:r>
                <w:r>
                  <w:rPr>
                    <w:rFonts w:hint="eastAsia"/>
                    <w:sz w:val="21"/>
                    <w:szCs w:val="21"/>
                  </w:rPr>
                  <w:fldChar w:fldCharType="end"/>
                </w:r>
              </w:p>
            </w:txbxContent>
          </v:textbox>
        </v:rect>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17"/>
      <w:pBdr>
        <w:bottom w:val="none" w:color="auto" w:sz="0" w:space="1"/>
      </w:pBdr>
      <w:jc w:val="both"/>
      <w:rPr>
        <w:rFonts w:ascii="仿宋_GB2312" w:eastAsia="仿宋_GB2312"/>
        <w:b/>
      </w:rPr>
    </w:pPr>
  </w:p>
  <w:p>
    <w:pPr>
      <w:pStyle w:val="17"/>
      <w:pBdr>
        <w:bottom w:val="none" w:color="auto" w:sz="0" w:space="1"/>
      </w:pBdr>
      <w:jc w:val="both"/>
      <w:rPr>
        <w:rFonts w:ascii="仿宋_GB2312" w:eastAsia="仿宋_GB2312"/>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3432641167">
    <w:nsid w:val="CC99F28F"/>
    <w:multiLevelType w:val="singleLevel"/>
    <w:tmpl w:val="CC99F28F"/>
    <w:lvl w:ilvl="0" w:tentative="1">
      <w:start w:val="1"/>
      <w:numFmt w:val="decimal"/>
      <w:lvlText w:val="%1."/>
      <w:lvlJc w:val="left"/>
      <w:pPr>
        <w:tabs>
          <w:tab w:val="left" w:pos="312"/>
        </w:tabs>
      </w:pPr>
    </w:lvl>
  </w:abstractNum>
  <w:abstractNum w:abstractNumId="1870236756">
    <w:nsid w:val="6F798C54"/>
    <w:multiLevelType w:val="singleLevel"/>
    <w:tmpl w:val="6F798C54"/>
    <w:lvl w:ilvl="0" w:tentative="1">
      <w:start w:val="1"/>
      <w:numFmt w:val="decimal"/>
      <w:lvlText w:val="%1."/>
      <w:lvlJc w:val="left"/>
      <w:pPr>
        <w:tabs>
          <w:tab w:val="left" w:pos="312"/>
        </w:tabs>
      </w:pPr>
    </w:lvl>
  </w:abstractNum>
  <w:abstractNum w:abstractNumId="1693818043">
    <w:nsid w:val="64F59CBB"/>
    <w:multiLevelType w:val="singleLevel"/>
    <w:tmpl w:val="64F59CBB"/>
    <w:lvl w:ilvl="0" w:tentative="1">
      <w:start w:val="1"/>
      <w:numFmt w:val="decimal"/>
      <w:pStyle w:val="13"/>
      <w:lvlText w:val="%1."/>
      <w:lvlJc w:val="left"/>
      <w:pPr>
        <w:tabs>
          <w:tab w:val="left" w:pos="2040"/>
        </w:tabs>
        <w:ind w:left="2040" w:hanging="360"/>
      </w:pPr>
    </w:lvl>
  </w:abstractNum>
  <w:num w:numId="1">
    <w:abstractNumId w:val="1693818043"/>
  </w:num>
  <w:num w:numId="2">
    <w:abstractNumId w:val="3432641167"/>
  </w:num>
  <w:num w:numId="3">
    <w:abstractNumId w:val="187023675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revisionView w:markup="0"/>
  <w:documentProtection w:enforcement="0"/>
  <w:defaultTabStop w:val="420"/>
  <w:displayHorizontalDrawingGridEvery w:val="1"/>
  <w:displayVerticalDrawingGridEvery w:val="1"/>
  <w:characterSpacingControl w:val="doNotCompress"/>
  <w:compat>
    <w:spaceForUL/>
    <w:doNotLeaveBackslashAlone/>
    <w:ulTrailSpac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
  <w:docVars>
    <w:docVar w:name="commondata" w:val="eyJoZGlkIjoiODM3MTI5OWUzMmNkM2E1ZTIxYTg5Yjc1NDg1NWQ4NWEifQ=="/>
  </w:docVars>
  <w:rsids>
    <w:rsidRoot w:val="00A3427C"/>
    <w:rsid w:val="000A06C6"/>
    <w:rsid w:val="000A3B34"/>
    <w:rsid w:val="000A49F9"/>
    <w:rsid w:val="000B4494"/>
    <w:rsid w:val="000D3A55"/>
    <w:rsid w:val="001046B6"/>
    <w:rsid w:val="00182E10"/>
    <w:rsid w:val="00195F60"/>
    <w:rsid w:val="001C5A9A"/>
    <w:rsid w:val="001D04BE"/>
    <w:rsid w:val="002324C3"/>
    <w:rsid w:val="00245498"/>
    <w:rsid w:val="00304241"/>
    <w:rsid w:val="0031721E"/>
    <w:rsid w:val="003302B5"/>
    <w:rsid w:val="00364DFD"/>
    <w:rsid w:val="0039230A"/>
    <w:rsid w:val="00430766"/>
    <w:rsid w:val="004871D3"/>
    <w:rsid w:val="004871E1"/>
    <w:rsid w:val="004A4FC8"/>
    <w:rsid w:val="004F4B17"/>
    <w:rsid w:val="00505B0D"/>
    <w:rsid w:val="00516366"/>
    <w:rsid w:val="00550171"/>
    <w:rsid w:val="00584474"/>
    <w:rsid w:val="005F075A"/>
    <w:rsid w:val="006550E2"/>
    <w:rsid w:val="00677276"/>
    <w:rsid w:val="006816DA"/>
    <w:rsid w:val="006B5DCB"/>
    <w:rsid w:val="0071369F"/>
    <w:rsid w:val="007303EB"/>
    <w:rsid w:val="00741C10"/>
    <w:rsid w:val="007A5DEB"/>
    <w:rsid w:val="00823984"/>
    <w:rsid w:val="008C1E36"/>
    <w:rsid w:val="009865F1"/>
    <w:rsid w:val="009E60CD"/>
    <w:rsid w:val="00A3427C"/>
    <w:rsid w:val="00AB32D1"/>
    <w:rsid w:val="00AD47EC"/>
    <w:rsid w:val="00B01549"/>
    <w:rsid w:val="00B14D11"/>
    <w:rsid w:val="00B76B15"/>
    <w:rsid w:val="00B81A03"/>
    <w:rsid w:val="00BA09C1"/>
    <w:rsid w:val="00BD552C"/>
    <w:rsid w:val="00BF289C"/>
    <w:rsid w:val="00CB5E98"/>
    <w:rsid w:val="00CC2D66"/>
    <w:rsid w:val="00D55E6C"/>
    <w:rsid w:val="00D71794"/>
    <w:rsid w:val="00D94F99"/>
    <w:rsid w:val="00D96FAE"/>
    <w:rsid w:val="00DC257E"/>
    <w:rsid w:val="00DC6AE4"/>
    <w:rsid w:val="00DE1A31"/>
    <w:rsid w:val="00DE57C2"/>
    <w:rsid w:val="00DF7E1E"/>
    <w:rsid w:val="00E228C3"/>
    <w:rsid w:val="00E35C16"/>
    <w:rsid w:val="00E6451E"/>
    <w:rsid w:val="00E80DAB"/>
    <w:rsid w:val="00EF32C7"/>
    <w:rsid w:val="00F2041D"/>
    <w:rsid w:val="00FB3A55"/>
    <w:rsid w:val="00FE3F29"/>
    <w:rsid w:val="01602FB6"/>
    <w:rsid w:val="01BF019B"/>
    <w:rsid w:val="01C50D7C"/>
    <w:rsid w:val="01F30BAD"/>
    <w:rsid w:val="02BB2CDA"/>
    <w:rsid w:val="02C8629C"/>
    <w:rsid w:val="040C5AA7"/>
    <w:rsid w:val="040F2701"/>
    <w:rsid w:val="04433FF6"/>
    <w:rsid w:val="04767387"/>
    <w:rsid w:val="04B00A6A"/>
    <w:rsid w:val="04C9308E"/>
    <w:rsid w:val="052D5248"/>
    <w:rsid w:val="05AB55B0"/>
    <w:rsid w:val="05EA5B56"/>
    <w:rsid w:val="05F322AD"/>
    <w:rsid w:val="061E7DDE"/>
    <w:rsid w:val="0621639E"/>
    <w:rsid w:val="0662728F"/>
    <w:rsid w:val="06920321"/>
    <w:rsid w:val="06997BAD"/>
    <w:rsid w:val="06C21663"/>
    <w:rsid w:val="06CD5D0F"/>
    <w:rsid w:val="072C56B2"/>
    <w:rsid w:val="07683AC1"/>
    <w:rsid w:val="078430AF"/>
    <w:rsid w:val="0784365A"/>
    <w:rsid w:val="07A41012"/>
    <w:rsid w:val="082B63F3"/>
    <w:rsid w:val="08557237"/>
    <w:rsid w:val="08791DA5"/>
    <w:rsid w:val="09643F05"/>
    <w:rsid w:val="096C061F"/>
    <w:rsid w:val="09760B15"/>
    <w:rsid w:val="098708AE"/>
    <w:rsid w:val="09CA5813"/>
    <w:rsid w:val="0A10088D"/>
    <w:rsid w:val="0A953E58"/>
    <w:rsid w:val="0AA3091D"/>
    <w:rsid w:val="0ACC16DA"/>
    <w:rsid w:val="0AF67B2D"/>
    <w:rsid w:val="0B024567"/>
    <w:rsid w:val="0B752658"/>
    <w:rsid w:val="0BC214A6"/>
    <w:rsid w:val="0BCC73FA"/>
    <w:rsid w:val="0BD76226"/>
    <w:rsid w:val="0BD81BE7"/>
    <w:rsid w:val="0BF01FA1"/>
    <w:rsid w:val="0C567613"/>
    <w:rsid w:val="0CDE1C2A"/>
    <w:rsid w:val="0D4468C1"/>
    <w:rsid w:val="0DB32D29"/>
    <w:rsid w:val="0DD71BBC"/>
    <w:rsid w:val="0DFE2AEE"/>
    <w:rsid w:val="0E077C89"/>
    <w:rsid w:val="0F0C69BC"/>
    <w:rsid w:val="0F2954D4"/>
    <w:rsid w:val="0F352EF7"/>
    <w:rsid w:val="0F414638"/>
    <w:rsid w:val="0F4F0669"/>
    <w:rsid w:val="0FCB0AD4"/>
    <w:rsid w:val="10013A51"/>
    <w:rsid w:val="101F0E02"/>
    <w:rsid w:val="1045519C"/>
    <w:rsid w:val="105502AF"/>
    <w:rsid w:val="106157B4"/>
    <w:rsid w:val="1073769E"/>
    <w:rsid w:val="109F1118"/>
    <w:rsid w:val="10AD196B"/>
    <w:rsid w:val="10B80C08"/>
    <w:rsid w:val="11091D89"/>
    <w:rsid w:val="113640A6"/>
    <w:rsid w:val="115A1BFD"/>
    <w:rsid w:val="11E703EE"/>
    <w:rsid w:val="11F0108D"/>
    <w:rsid w:val="12520B06"/>
    <w:rsid w:val="1253389B"/>
    <w:rsid w:val="12E5393E"/>
    <w:rsid w:val="131A2247"/>
    <w:rsid w:val="132135EE"/>
    <w:rsid w:val="133415B1"/>
    <w:rsid w:val="13493176"/>
    <w:rsid w:val="139445D6"/>
    <w:rsid w:val="14216A14"/>
    <w:rsid w:val="14871C3B"/>
    <w:rsid w:val="14BD7815"/>
    <w:rsid w:val="14F049E7"/>
    <w:rsid w:val="14FF2B7F"/>
    <w:rsid w:val="15565D98"/>
    <w:rsid w:val="157B4465"/>
    <w:rsid w:val="15B04AD4"/>
    <w:rsid w:val="166D2C22"/>
    <w:rsid w:val="16A7522F"/>
    <w:rsid w:val="16A91E9B"/>
    <w:rsid w:val="16AB5C70"/>
    <w:rsid w:val="16EA0A01"/>
    <w:rsid w:val="17CD17F2"/>
    <w:rsid w:val="1801564C"/>
    <w:rsid w:val="18021EF2"/>
    <w:rsid w:val="1843038F"/>
    <w:rsid w:val="18C85511"/>
    <w:rsid w:val="18E704ED"/>
    <w:rsid w:val="18F13D79"/>
    <w:rsid w:val="19A10699"/>
    <w:rsid w:val="19B2124E"/>
    <w:rsid w:val="19DD4C7B"/>
    <w:rsid w:val="1AD216E7"/>
    <w:rsid w:val="1B0561E9"/>
    <w:rsid w:val="1B3C7A17"/>
    <w:rsid w:val="1C0917A7"/>
    <w:rsid w:val="1C4C53B4"/>
    <w:rsid w:val="1C546426"/>
    <w:rsid w:val="1C5506D9"/>
    <w:rsid w:val="1C6B6E48"/>
    <w:rsid w:val="1C7357D5"/>
    <w:rsid w:val="1C951BC3"/>
    <w:rsid w:val="1C9E31F3"/>
    <w:rsid w:val="1CE348F0"/>
    <w:rsid w:val="1D307D7A"/>
    <w:rsid w:val="1D5842F2"/>
    <w:rsid w:val="1DFE6FCD"/>
    <w:rsid w:val="1E0A47ED"/>
    <w:rsid w:val="1E315784"/>
    <w:rsid w:val="1ED86EB2"/>
    <w:rsid w:val="1EF324A6"/>
    <w:rsid w:val="1EFC6D99"/>
    <w:rsid w:val="1F586B64"/>
    <w:rsid w:val="1FA37075"/>
    <w:rsid w:val="1FD10A20"/>
    <w:rsid w:val="1FDD26D2"/>
    <w:rsid w:val="201F58F0"/>
    <w:rsid w:val="204C6209"/>
    <w:rsid w:val="20584E4B"/>
    <w:rsid w:val="20731F68"/>
    <w:rsid w:val="207E3DAE"/>
    <w:rsid w:val="20880FD8"/>
    <w:rsid w:val="20A8710B"/>
    <w:rsid w:val="20AB320C"/>
    <w:rsid w:val="20E56EC6"/>
    <w:rsid w:val="212B3DD1"/>
    <w:rsid w:val="217D4A26"/>
    <w:rsid w:val="21C12D40"/>
    <w:rsid w:val="21D13C9B"/>
    <w:rsid w:val="21D826EB"/>
    <w:rsid w:val="2239702E"/>
    <w:rsid w:val="226F310F"/>
    <w:rsid w:val="22964C83"/>
    <w:rsid w:val="22BF54BD"/>
    <w:rsid w:val="22ED008E"/>
    <w:rsid w:val="23142494"/>
    <w:rsid w:val="237E7711"/>
    <w:rsid w:val="237E7F13"/>
    <w:rsid w:val="23A522CA"/>
    <w:rsid w:val="23DE585C"/>
    <w:rsid w:val="23F60711"/>
    <w:rsid w:val="24215867"/>
    <w:rsid w:val="24466D8E"/>
    <w:rsid w:val="24593831"/>
    <w:rsid w:val="248A4000"/>
    <w:rsid w:val="24932711"/>
    <w:rsid w:val="249B3657"/>
    <w:rsid w:val="249D4F94"/>
    <w:rsid w:val="24C2134C"/>
    <w:rsid w:val="25043CC9"/>
    <w:rsid w:val="251A3F78"/>
    <w:rsid w:val="2572277A"/>
    <w:rsid w:val="257B52B2"/>
    <w:rsid w:val="258522A3"/>
    <w:rsid w:val="258C721C"/>
    <w:rsid w:val="25D7082F"/>
    <w:rsid w:val="263F494B"/>
    <w:rsid w:val="267436E8"/>
    <w:rsid w:val="271F5859"/>
    <w:rsid w:val="27576948"/>
    <w:rsid w:val="277178DA"/>
    <w:rsid w:val="27D85636"/>
    <w:rsid w:val="282D6AD2"/>
    <w:rsid w:val="289C18BC"/>
    <w:rsid w:val="28BB5DB1"/>
    <w:rsid w:val="2979495F"/>
    <w:rsid w:val="29991851"/>
    <w:rsid w:val="2ABB0C15"/>
    <w:rsid w:val="2AC5154B"/>
    <w:rsid w:val="2AD753CA"/>
    <w:rsid w:val="2AE64297"/>
    <w:rsid w:val="2B2726BE"/>
    <w:rsid w:val="2BB94F46"/>
    <w:rsid w:val="2BEA2226"/>
    <w:rsid w:val="2BFF1CAB"/>
    <w:rsid w:val="2C1E107D"/>
    <w:rsid w:val="2C4442AB"/>
    <w:rsid w:val="2C47721C"/>
    <w:rsid w:val="2C510537"/>
    <w:rsid w:val="2C6447E1"/>
    <w:rsid w:val="2C994A91"/>
    <w:rsid w:val="2CBE4FAF"/>
    <w:rsid w:val="2D097380"/>
    <w:rsid w:val="2D4F73D5"/>
    <w:rsid w:val="2DA229FA"/>
    <w:rsid w:val="2DD92415"/>
    <w:rsid w:val="2E6E6109"/>
    <w:rsid w:val="2E9B6AC9"/>
    <w:rsid w:val="2EA0410A"/>
    <w:rsid w:val="2EEB5BC0"/>
    <w:rsid w:val="2F3708BB"/>
    <w:rsid w:val="2F755A9E"/>
    <w:rsid w:val="2F7708EA"/>
    <w:rsid w:val="2FAE2F74"/>
    <w:rsid w:val="304C39B7"/>
    <w:rsid w:val="305F58E6"/>
    <w:rsid w:val="30680939"/>
    <w:rsid w:val="30F30CEC"/>
    <w:rsid w:val="310172C2"/>
    <w:rsid w:val="313645FD"/>
    <w:rsid w:val="316E128C"/>
    <w:rsid w:val="31FB0AC7"/>
    <w:rsid w:val="32BB18E5"/>
    <w:rsid w:val="32D0732A"/>
    <w:rsid w:val="32E41CC8"/>
    <w:rsid w:val="3325518D"/>
    <w:rsid w:val="339C4CD9"/>
    <w:rsid w:val="33E3071A"/>
    <w:rsid w:val="34161C3A"/>
    <w:rsid w:val="34441786"/>
    <w:rsid w:val="34D631C3"/>
    <w:rsid w:val="34FA7182"/>
    <w:rsid w:val="351808A9"/>
    <w:rsid w:val="3556287D"/>
    <w:rsid w:val="35627CDE"/>
    <w:rsid w:val="358D75EC"/>
    <w:rsid w:val="35D07CD5"/>
    <w:rsid w:val="35F9696B"/>
    <w:rsid w:val="361B5D55"/>
    <w:rsid w:val="366C6D72"/>
    <w:rsid w:val="36DE7BE4"/>
    <w:rsid w:val="36FD613B"/>
    <w:rsid w:val="37777619"/>
    <w:rsid w:val="37955E57"/>
    <w:rsid w:val="37990D7D"/>
    <w:rsid w:val="37AB3BEE"/>
    <w:rsid w:val="37E46598"/>
    <w:rsid w:val="37FC4DE7"/>
    <w:rsid w:val="38153792"/>
    <w:rsid w:val="383D10D3"/>
    <w:rsid w:val="383E32D2"/>
    <w:rsid w:val="384B1C1F"/>
    <w:rsid w:val="387F0514"/>
    <w:rsid w:val="388D46D6"/>
    <w:rsid w:val="389A01B8"/>
    <w:rsid w:val="390223BE"/>
    <w:rsid w:val="39456F19"/>
    <w:rsid w:val="3965046B"/>
    <w:rsid w:val="397424CE"/>
    <w:rsid w:val="39B36408"/>
    <w:rsid w:val="39C71FE9"/>
    <w:rsid w:val="39E17075"/>
    <w:rsid w:val="3A1A7360"/>
    <w:rsid w:val="3A28305D"/>
    <w:rsid w:val="3A300507"/>
    <w:rsid w:val="3A3737DE"/>
    <w:rsid w:val="3A4F6173"/>
    <w:rsid w:val="3A751FF8"/>
    <w:rsid w:val="3AB86CFD"/>
    <w:rsid w:val="3AE666F8"/>
    <w:rsid w:val="3B5E66F2"/>
    <w:rsid w:val="3B827EB6"/>
    <w:rsid w:val="3C3A62AB"/>
    <w:rsid w:val="3C7030B7"/>
    <w:rsid w:val="3C743574"/>
    <w:rsid w:val="3CAB73E0"/>
    <w:rsid w:val="3D1B0E47"/>
    <w:rsid w:val="3D593035"/>
    <w:rsid w:val="3D860681"/>
    <w:rsid w:val="3E281643"/>
    <w:rsid w:val="3E583148"/>
    <w:rsid w:val="3E725D00"/>
    <w:rsid w:val="3EC138D5"/>
    <w:rsid w:val="3F2B5A5E"/>
    <w:rsid w:val="3F314E39"/>
    <w:rsid w:val="3F540344"/>
    <w:rsid w:val="3F8733A0"/>
    <w:rsid w:val="3FEC68AD"/>
    <w:rsid w:val="4011271B"/>
    <w:rsid w:val="40333762"/>
    <w:rsid w:val="405A4D62"/>
    <w:rsid w:val="408E2B77"/>
    <w:rsid w:val="40D15187"/>
    <w:rsid w:val="40D9514B"/>
    <w:rsid w:val="41091F8D"/>
    <w:rsid w:val="41413E79"/>
    <w:rsid w:val="41635138"/>
    <w:rsid w:val="41660A66"/>
    <w:rsid w:val="41B55D07"/>
    <w:rsid w:val="41E32D7C"/>
    <w:rsid w:val="41EE235C"/>
    <w:rsid w:val="41F2629D"/>
    <w:rsid w:val="422328C4"/>
    <w:rsid w:val="422A4671"/>
    <w:rsid w:val="422C3271"/>
    <w:rsid w:val="42303F1D"/>
    <w:rsid w:val="42360234"/>
    <w:rsid w:val="42465085"/>
    <w:rsid w:val="42567993"/>
    <w:rsid w:val="426E3542"/>
    <w:rsid w:val="427469EB"/>
    <w:rsid w:val="43084B7E"/>
    <w:rsid w:val="432E404A"/>
    <w:rsid w:val="44050BA5"/>
    <w:rsid w:val="440A7440"/>
    <w:rsid w:val="440E4587"/>
    <w:rsid w:val="44F94935"/>
    <w:rsid w:val="45066BE7"/>
    <w:rsid w:val="451779E3"/>
    <w:rsid w:val="453710D7"/>
    <w:rsid w:val="46304E07"/>
    <w:rsid w:val="466C691A"/>
    <w:rsid w:val="46880585"/>
    <w:rsid w:val="469713A8"/>
    <w:rsid w:val="46AC31BB"/>
    <w:rsid w:val="46F60EF7"/>
    <w:rsid w:val="475A4AD4"/>
    <w:rsid w:val="47B54139"/>
    <w:rsid w:val="480C3669"/>
    <w:rsid w:val="484F038F"/>
    <w:rsid w:val="48680B2B"/>
    <w:rsid w:val="4879408D"/>
    <w:rsid w:val="4888388C"/>
    <w:rsid w:val="489579BD"/>
    <w:rsid w:val="48A0235B"/>
    <w:rsid w:val="495D0FB3"/>
    <w:rsid w:val="4AA74182"/>
    <w:rsid w:val="4B025D72"/>
    <w:rsid w:val="4B2D0B1D"/>
    <w:rsid w:val="4B2F0261"/>
    <w:rsid w:val="4B4E2A92"/>
    <w:rsid w:val="4B562916"/>
    <w:rsid w:val="4BC42D59"/>
    <w:rsid w:val="4BFE5EF8"/>
    <w:rsid w:val="4C606DB2"/>
    <w:rsid w:val="4C6B19E2"/>
    <w:rsid w:val="4C902D3B"/>
    <w:rsid w:val="4CA97603"/>
    <w:rsid w:val="4CD84E53"/>
    <w:rsid w:val="4D203FBB"/>
    <w:rsid w:val="4D705576"/>
    <w:rsid w:val="4DA90DFB"/>
    <w:rsid w:val="4DCD4433"/>
    <w:rsid w:val="4DD07926"/>
    <w:rsid w:val="4DDE46CE"/>
    <w:rsid w:val="4E3510A2"/>
    <w:rsid w:val="4E377691"/>
    <w:rsid w:val="4E423156"/>
    <w:rsid w:val="4E55256B"/>
    <w:rsid w:val="4E6279E8"/>
    <w:rsid w:val="4EB71B03"/>
    <w:rsid w:val="4EBE6866"/>
    <w:rsid w:val="4F45144F"/>
    <w:rsid w:val="4F6F5877"/>
    <w:rsid w:val="4F8B1214"/>
    <w:rsid w:val="4F9A0054"/>
    <w:rsid w:val="4FA51482"/>
    <w:rsid w:val="4FC75D1F"/>
    <w:rsid w:val="50077921"/>
    <w:rsid w:val="50083306"/>
    <w:rsid w:val="501E4BFD"/>
    <w:rsid w:val="50812B3F"/>
    <w:rsid w:val="510D0869"/>
    <w:rsid w:val="513D3A1F"/>
    <w:rsid w:val="515F652C"/>
    <w:rsid w:val="51D4257C"/>
    <w:rsid w:val="51EB08A9"/>
    <w:rsid w:val="520F5939"/>
    <w:rsid w:val="52737FA3"/>
    <w:rsid w:val="52AB3B2A"/>
    <w:rsid w:val="53327A8E"/>
    <w:rsid w:val="53F42499"/>
    <w:rsid w:val="545668AD"/>
    <w:rsid w:val="5457649B"/>
    <w:rsid w:val="552505D2"/>
    <w:rsid w:val="55625322"/>
    <w:rsid w:val="55707BDE"/>
    <w:rsid w:val="5582792F"/>
    <w:rsid w:val="55CC55BF"/>
    <w:rsid w:val="55F54D13"/>
    <w:rsid w:val="5642396D"/>
    <w:rsid w:val="56715B4E"/>
    <w:rsid w:val="56D42182"/>
    <w:rsid w:val="572C10A6"/>
    <w:rsid w:val="574D2D46"/>
    <w:rsid w:val="574E087E"/>
    <w:rsid w:val="57750A2B"/>
    <w:rsid w:val="5792578A"/>
    <w:rsid w:val="57BB73ED"/>
    <w:rsid w:val="581C2119"/>
    <w:rsid w:val="586F2C49"/>
    <w:rsid w:val="58890119"/>
    <w:rsid w:val="588D4906"/>
    <w:rsid w:val="58D91DB0"/>
    <w:rsid w:val="58E65065"/>
    <w:rsid w:val="590B198E"/>
    <w:rsid w:val="593041E0"/>
    <w:rsid w:val="594E7278"/>
    <w:rsid w:val="59810868"/>
    <w:rsid w:val="5993288C"/>
    <w:rsid w:val="59D01584"/>
    <w:rsid w:val="5A390076"/>
    <w:rsid w:val="5A8A21CA"/>
    <w:rsid w:val="5ABB6A7B"/>
    <w:rsid w:val="5ABC428D"/>
    <w:rsid w:val="5AF31512"/>
    <w:rsid w:val="5AFE232F"/>
    <w:rsid w:val="5B171F0F"/>
    <w:rsid w:val="5B1D3D8B"/>
    <w:rsid w:val="5BA82033"/>
    <w:rsid w:val="5BD700C1"/>
    <w:rsid w:val="5BDF353F"/>
    <w:rsid w:val="5C015FD6"/>
    <w:rsid w:val="5C435DE5"/>
    <w:rsid w:val="5C6A704B"/>
    <w:rsid w:val="5C8F4827"/>
    <w:rsid w:val="5CC73F55"/>
    <w:rsid w:val="5CCE79D2"/>
    <w:rsid w:val="5D296F29"/>
    <w:rsid w:val="5DA9187C"/>
    <w:rsid w:val="5DAF2A40"/>
    <w:rsid w:val="5DC344B4"/>
    <w:rsid w:val="5DFC012C"/>
    <w:rsid w:val="5E186BEC"/>
    <w:rsid w:val="5E5E7634"/>
    <w:rsid w:val="5E671EEA"/>
    <w:rsid w:val="5E903403"/>
    <w:rsid w:val="5EF51837"/>
    <w:rsid w:val="5EF944CD"/>
    <w:rsid w:val="5F1F209C"/>
    <w:rsid w:val="5F684D49"/>
    <w:rsid w:val="5F9207C0"/>
    <w:rsid w:val="5FCA1E36"/>
    <w:rsid w:val="5FE46AC4"/>
    <w:rsid w:val="601B11A9"/>
    <w:rsid w:val="60E92BEA"/>
    <w:rsid w:val="60FA0240"/>
    <w:rsid w:val="61203087"/>
    <w:rsid w:val="614F5EFD"/>
    <w:rsid w:val="615C4551"/>
    <w:rsid w:val="61D310F6"/>
    <w:rsid w:val="629B3610"/>
    <w:rsid w:val="632C3261"/>
    <w:rsid w:val="635F4A8C"/>
    <w:rsid w:val="637237C4"/>
    <w:rsid w:val="639A198B"/>
    <w:rsid w:val="63A758EB"/>
    <w:rsid w:val="645049B5"/>
    <w:rsid w:val="64686005"/>
    <w:rsid w:val="64840543"/>
    <w:rsid w:val="64C23E7D"/>
    <w:rsid w:val="64DB18B2"/>
    <w:rsid w:val="656D5870"/>
    <w:rsid w:val="659942A6"/>
    <w:rsid w:val="65ED2FC3"/>
    <w:rsid w:val="663761A5"/>
    <w:rsid w:val="66411FDF"/>
    <w:rsid w:val="66815C60"/>
    <w:rsid w:val="66B5202F"/>
    <w:rsid w:val="66F12CA1"/>
    <w:rsid w:val="6702398B"/>
    <w:rsid w:val="670C1A3A"/>
    <w:rsid w:val="671B73DB"/>
    <w:rsid w:val="673A4DBD"/>
    <w:rsid w:val="67681C78"/>
    <w:rsid w:val="676E69BF"/>
    <w:rsid w:val="67765AAD"/>
    <w:rsid w:val="67CC4879"/>
    <w:rsid w:val="67E975D9"/>
    <w:rsid w:val="680F4007"/>
    <w:rsid w:val="683F45B5"/>
    <w:rsid w:val="6851759F"/>
    <w:rsid w:val="68C63A42"/>
    <w:rsid w:val="68D25727"/>
    <w:rsid w:val="69AD29EB"/>
    <w:rsid w:val="69DA68D3"/>
    <w:rsid w:val="69F7527F"/>
    <w:rsid w:val="6A104C8E"/>
    <w:rsid w:val="6A2E78BF"/>
    <w:rsid w:val="6A541F99"/>
    <w:rsid w:val="6A7777D9"/>
    <w:rsid w:val="6AAA0998"/>
    <w:rsid w:val="6B2A582A"/>
    <w:rsid w:val="6B4F3C06"/>
    <w:rsid w:val="6B5C045C"/>
    <w:rsid w:val="6B603DF1"/>
    <w:rsid w:val="6B95030D"/>
    <w:rsid w:val="6BA75359"/>
    <w:rsid w:val="6BBF58BF"/>
    <w:rsid w:val="6BE14749"/>
    <w:rsid w:val="6BF8685F"/>
    <w:rsid w:val="6C335C78"/>
    <w:rsid w:val="6C78644A"/>
    <w:rsid w:val="6CC857D5"/>
    <w:rsid w:val="6CE8525F"/>
    <w:rsid w:val="6D1A178E"/>
    <w:rsid w:val="6D527952"/>
    <w:rsid w:val="6E183508"/>
    <w:rsid w:val="6E4B4DB3"/>
    <w:rsid w:val="6EA1310C"/>
    <w:rsid w:val="6ED2525C"/>
    <w:rsid w:val="6ED461E0"/>
    <w:rsid w:val="6EFB112C"/>
    <w:rsid w:val="6F1E2193"/>
    <w:rsid w:val="6F333FFC"/>
    <w:rsid w:val="70200008"/>
    <w:rsid w:val="70BA3231"/>
    <w:rsid w:val="70BE50A6"/>
    <w:rsid w:val="70C2689E"/>
    <w:rsid w:val="70FB3837"/>
    <w:rsid w:val="71AC49FF"/>
    <w:rsid w:val="71C47238"/>
    <w:rsid w:val="72870911"/>
    <w:rsid w:val="728E4648"/>
    <w:rsid w:val="729359BC"/>
    <w:rsid w:val="72EF4193"/>
    <w:rsid w:val="73306E0A"/>
    <w:rsid w:val="734132E8"/>
    <w:rsid w:val="73E907B7"/>
    <w:rsid w:val="745D1AF2"/>
    <w:rsid w:val="746074FC"/>
    <w:rsid w:val="74CA4105"/>
    <w:rsid w:val="74E05A68"/>
    <w:rsid w:val="75044660"/>
    <w:rsid w:val="75651BF3"/>
    <w:rsid w:val="75751222"/>
    <w:rsid w:val="759376DB"/>
    <w:rsid w:val="7598470C"/>
    <w:rsid w:val="75CC51D7"/>
    <w:rsid w:val="75DD576F"/>
    <w:rsid w:val="76116EFB"/>
    <w:rsid w:val="763273F7"/>
    <w:rsid w:val="763A6CF4"/>
    <w:rsid w:val="765829BA"/>
    <w:rsid w:val="775F0C67"/>
    <w:rsid w:val="77F82A03"/>
    <w:rsid w:val="7848353F"/>
    <w:rsid w:val="78F7704D"/>
    <w:rsid w:val="791346D6"/>
    <w:rsid w:val="79136A13"/>
    <w:rsid w:val="795B7FA5"/>
    <w:rsid w:val="79995C66"/>
    <w:rsid w:val="79C626C5"/>
    <w:rsid w:val="79FD4EAF"/>
    <w:rsid w:val="7A5C434D"/>
    <w:rsid w:val="7AC106B6"/>
    <w:rsid w:val="7AEE4100"/>
    <w:rsid w:val="7AFA7350"/>
    <w:rsid w:val="7B933A26"/>
    <w:rsid w:val="7C086E74"/>
    <w:rsid w:val="7C34222F"/>
    <w:rsid w:val="7C39225B"/>
    <w:rsid w:val="7C8F51E8"/>
    <w:rsid w:val="7CAF571D"/>
    <w:rsid w:val="7D232C40"/>
    <w:rsid w:val="7D3401D5"/>
    <w:rsid w:val="7D4D433B"/>
    <w:rsid w:val="7D746BE8"/>
    <w:rsid w:val="7DD737EB"/>
    <w:rsid w:val="7DE84A9D"/>
    <w:rsid w:val="7E2B3D0F"/>
    <w:rsid w:val="7E9266F9"/>
    <w:rsid w:val="7E970E40"/>
    <w:rsid w:val="7EF66F76"/>
    <w:rsid w:val="7FAA5C44"/>
    <w:rsid w:val="7FBF2B57"/>
  </w:rsids>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qFormat="1" w:uiPriority="99" w:semiHidden="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qFormat="1" w:unhideWhenUsed="0" w:uiPriority="0" w:semiHidden="0" w:name="envelope return"/>
    <w:lsdException w:uiPriority="0" w:name="footnote reference"/>
    <w:lsdException w:qFormat="1" w:uiPriority="99"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qFormat="1" w:uiPriority="99" w:semiHidden="0" w:name="List Number 5"/>
    <w:lsdException w:qFormat="1" w:unhideWhenUsed="0" w:uiPriority="10" w:semiHidden="0" w:name="Title"/>
    <w:lsdException w:uiPriority="0" w:name="Closing"/>
    <w:lsdException w:uiPriority="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qFormat="1" w:unhideWhenUsed="0" w:uiPriority="0" w:semiHidden="0" w:name="Date"/>
    <w:lsdException w:qFormat="1" w:uiPriority="99" w:semiHidden="0" w:name="Body Text First Indent"/>
    <w:lsdException w:qFormat="1" w:unhideWhenUsed="0" w:uiPriority="0" w:semiHidden="0" w:name="Body Text First Indent 2"/>
    <w:lsdException w:uiPriority="0" w:name="Note Heading"/>
    <w:lsdException w:uiPriority="0" w:name="Body Text 2"/>
    <w:lsdException w:uiPriority="0" w:name="Body Text 3"/>
    <w:lsdException w:qFormat="1" w:uiPriority="0" w:semiHidden="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qFormat="1"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160" w:line="278" w:lineRule="auto"/>
      <w:jc w:val="both"/>
    </w:pPr>
    <w:rPr>
      <w:rFonts w:ascii="Calibri" w:hAnsi="Calibri" w:eastAsia="宋体" w:cs="黑体"/>
      <w:kern w:val="2"/>
      <w:sz w:val="21"/>
      <w:szCs w:val="22"/>
      <w:lang w:val="en-US" w:eastAsia="zh-CN" w:bidi="ar-SA"/>
    </w:rPr>
  </w:style>
  <w:style w:type="paragraph" w:styleId="5">
    <w:name w:val="heading 2"/>
    <w:basedOn w:val="1"/>
    <w:next w:val="1"/>
    <w:link w:val="34"/>
    <w:qFormat/>
    <w:uiPriority w:val="9"/>
    <w:pPr>
      <w:widowControl/>
      <w:spacing w:before="100" w:beforeAutospacing="1" w:after="100" w:afterAutospacing="1"/>
      <w:jc w:val="left"/>
      <w:outlineLvl w:val="1"/>
    </w:pPr>
    <w:rPr>
      <w:rFonts w:ascii="宋体" w:hAnsi="宋体" w:cs="宋体"/>
      <w:b/>
      <w:bCs/>
      <w:kern w:val="0"/>
      <w:sz w:val="36"/>
      <w:szCs w:val="36"/>
    </w:rPr>
  </w:style>
  <w:style w:type="paragraph" w:styleId="6">
    <w:name w:val="heading 3"/>
    <w:basedOn w:val="1"/>
    <w:next w:val="1"/>
    <w:unhideWhenUsed/>
    <w:qFormat/>
    <w:uiPriority w:val="9"/>
    <w:pPr>
      <w:spacing w:beforeAutospacing="1" w:afterAutospacing="1"/>
      <w:jc w:val="left"/>
      <w:outlineLvl w:val="2"/>
    </w:pPr>
    <w:rPr>
      <w:rFonts w:hint="eastAsia" w:ascii="宋体" w:hAnsi="宋体" w:cs="宋体"/>
      <w:b/>
      <w:kern w:val="0"/>
      <w:sz w:val="27"/>
      <w:szCs w:val="27"/>
    </w:rPr>
  </w:style>
  <w:style w:type="paragraph" w:styleId="7">
    <w:name w:val="heading 4"/>
    <w:basedOn w:val="1"/>
    <w:next w:val="1"/>
    <w:qFormat/>
    <w:uiPriority w:val="0"/>
    <w:pPr>
      <w:keepNext/>
      <w:keepLines/>
      <w:spacing w:line="360" w:lineRule="auto"/>
      <w:outlineLvl w:val="3"/>
    </w:pPr>
    <w:rPr>
      <w:rFonts w:ascii="Arial" w:hAnsi="Arial"/>
      <w:b/>
      <w:bCs/>
      <w:szCs w:val="28"/>
    </w:rPr>
  </w:style>
  <w:style w:type="character" w:default="1" w:styleId="19">
    <w:name w:val="Default Paragraph Font"/>
    <w:unhideWhenUsed/>
    <w:qFormat/>
    <w:uiPriority w:val="1"/>
  </w:style>
  <w:style w:type="table" w:default="1" w:styleId="23">
    <w:name w:val="Normal Table"/>
    <w:unhideWhenUsed/>
    <w:qFormat/>
    <w:uiPriority w:val="99"/>
    <w:tblPr>
      <w:tblStyle w:val="23"/>
      <w:tblLayout w:type="fixed"/>
      <w:tblCellMar>
        <w:top w:w="0" w:type="dxa"/>
        <w:left w:w="108" w:type="dxa"/>
        <w:bottom w:w="0" w:type="dxa"/>
        <w:right w:w="108" w:type="dxa"/>
      </w:tblCellMar>
    </w:tblPr>
    <w:tcPr>
      <w:textDirection w:val="lrTb"/>
    </w:tcPr>
  </w:style>
  <w:style w:type="paragraph" w:styleId="2">
    <w:name w:val="Body Text First Indent 2"/>
    <w:basedOn w:val="3"/>
    <w:next w:val="1"/>
    <w:qFormat/>
    <w:uiPriority w:val="0"/>
    <w:pPr>
      <w:ind w:firstLine="420" w:firstLineChars="200"/>
    </w:pPr>
  </w:style>
  <w:style w:type="paragraph" w:styleId="3">
    <w:name w:val="Body Text Indent"/>
    <w:basedOn w:val="1"/>
    <w:next w:val="4"/>
    <w:qFormat/>
    <w:uiPriority w:val="0"/>
    <w:pPr>
      <w:ind w:left="720" w:leftChars="343" w:firstLine="280" w:firstLineChars="100"/>
    </w:pPr>
    <w:rPr>
      <w:color w:val="FF0000"/>
      <w:sz w:val="28"/>
    </w:rPr>
  </w:style>
  <w:style w:type="paragraph" w:styleId="4">
    <w:name w:val="envelope return"/>
    <w:basedOn w:val="1"/>
    <w:qFormat/>
    <w:uiPriority w:val="0"/>
    <w:pPr>
      <w:widowControl/>
      <w:jc w:val="left"/>
    </w:pPr>
    <w:rPr>
      <w:rFonts w:ascii="Garamond" w:hAnsi="Garamond"/>
      <w:kern w:val="0"/>
      <w:sz w:val="22"/>
      <w:szCs w:val="20"/>
    </w:rPr>
  </w:style>
  <w:style w:type="paragraph" w:styleId="8">
    <w:name w:val="annotation subject"/>
    <w:basedOn w:val="9"/>
    <w:next w:val="9"/>
    <w:link w:val="37"/>
    <w:unhideWhenUsed/>
    <w:qFormat/>
    <w:uiPriority w:val="99"/>
    <w:rPr>
      <w:b/>
      <w:bCs/>
    </w:rPr>
  </w:style>
  <w:style w:type="paragraph" w:styleId="9">
    <w:name w:val="annotation text"/>
    <w:basedOn w:val="1"/>
    <w:link w:val="36"/>
    <w:unhideWhenUsed/>
    <w:qFormat/>
    <w:uiPriority w:val="99"/>
    <w:pPr>
      <w:jc w:val="left"/>
    </w:pPr>
  </w:style>
  <w:style w:type="paragraph" w:styleId="10">
    <w:name w:val="Body Text First Indent"/>
    <w:basedOn w:val="11"/>
    <w:unhideWhenUsed/>
    <w:qFormat/>
    <w:uiPriority w:val="99"/>
    <w:pPr>
      <w:ind w:firstLine="420" w:firstLineChars="100"/>
    </w:pPr>
  </w:style>
  <w:style w:type="paragraph" w:styleId="11">
    <w:name w:val="Body Text"/>
    <w:basedOn w:val="1"/>
    <w:next w:val="1"/>
    <w:qFormat/>
    <w:uiPriority w:val="0"/>
    <w:pPr>
      <w:adjustRightInd w:val="0"/>
      <w:spacing w:after="60" w:line="360" w:lineRule="atLeast"/>
      <w:ind w:left="72" w:leftChars="30" w:right="30" w:rightChars="30"/>
      <w:jc w:val="center"/>
      <w:textAlignment w:val="baseline"/>
    </w:pPr>
    <w:rPr>
      <w:rFonts w:ascii="Times New Roman"/>
      <w:kern w:val="0"/>
    </w:rPr>
  </w:style>
  <w:style w:type="paragraph" w:styleId="12">
    <w:name w:val="Plain Text"/>
    <w:basedOn w:val="1"/>
    <w:next w:val="13"/>
    <w:qFormat/>
    <w:uiPriority w:val="0"/>
    <w:rPr>
      <w:rFonts w:ascii="宋体" w:hAnsi="Courier New"/>
      <w:szCs w:val="20"/>
    </w:rPr>
  </w:style>
  <w:style w:type="paragraph" w:styleId="13">
    <w:name w:val="List Number 5"/>
    <w:basedOn w:val="1"/>
    <w:unhideWhenUsed/>
    <w:qFormat/>
    <w:uiPriority w:val="99"/>
    <w:pPr>
      <w:numPr>
        <w:ilvl w:val="0"/>
        <w:numId w:val="1"/>
      </w:numPr>
    </w:pPr>
  </w:style>
  <w:style w:type="paragraph" w:styleId="14">
    <w:name w:val="Date"/>
    <w:basedOn w:val="1"/>
    <w:next w:val="1"/>
    <w:qFormat/>
    <w:uiPriority w:val="0"/>
    <w:pPr>
      <w:ind w:left="100" w:leftChars="2500"/>
    </w:pPr>
  </w:style>
  <w:style w:type="paragraph" w:styleId="15">
    <w:name w:val="Body Text Indent 2"/>
    <w:basedOn w:val="1"/>
    <w:unhideWhenUsed/>
    <w:qFormat/>
    <w:uiPriority w:val="0"/>
    <w:pPr>
      <w:spacing w:line="579" w:lineRule="exact"/>
    </w:pPr>
  </w:style>
  <w:style w:type="paragraph" w:styleId="16">
    <w:name w:val="footer"/>
    <w:basedOn w:val="1"/>
    <w:link w:val="33"/>
    <w:unhideWhenUsed/>
    <w:qFormat/>
    <w:uiPriority w:val="99"/>
    <w:pPr>
      <w:tabs>
        <w:tab w:val="center" w:pos="4153"/>
        <w:tab w:val="right" w:pos="8306"/>
      </w:tabs>
      <w:snapToGrid w:val="0"/>
      <w:jc w:val="left"/>
    </w:pPr>
    <w:rPr>
      <w:sz w:val="18"/>
      <w:szCs w:val="18"/>
    </w:rPr>
  </w:style>
  <w:style w:type="paragraph" w:styleId="17">
    <w:name w:val="header"/>
    <w:basedOn w:val="1"/>
    <w:link w:val="32"/>
    <w:unhideWhenUsed/>
    <w:qFormat/>
    <w:uiPriority w:val="99"/>
    <w:pPr>
      <w:pBdr>
        <w:bottom w:val="single" w:color="auto" w:sz="6" w:space="1"/>
      </w:pBdr>
      <w:tabs>
        <w:tab w:val="center" w:pos="4153"/>
        <w:tab w:val="right" w:pos="8306"/>
      </w:tabs>
      <w:snapToGrid w:val="0"/>
      <w:jc w:val="center"/>
    </w:pPr>
    <w:rPr>
      <w:sz w:val="18"/>
      <w:szCs w:val="18"/>
    </w:rPr>
  </w:style>
  <w:style w:type="paragraph" w:styleId="18">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character" w:styleId="20">
    <w:name w:val="Strong"/>
    <w:basedOn w:val="19"/>
    <w:qFormat/>
    <w:uiPriority w:val="22"/>
    <w:rPr>
      <w:b/>
      <w:bCs/>
    </w:rPr>
  </w:style>
  <w:style w:type="character" w:styleId="21">
    <w:name w:val="Hyperlink"/>
    <w:basedOn w:val="19"/>
    <w:unhideWhenUsed/>
    <w:qFormat/>
    <w:uiPriority w:val="99"/>
    <w:rPr>
      <w:color w:val="0000FF"/>
      <w:u w:val="single"/>
    </w:rPr>
  </w:style>
  <w:style w:type="character" w:styleId="22">
    <w:name w:val="annotation reference"/>
    <w:basedOn w:val="19"/>
    <w:unhideWhenUsed/>
    <w:qFormat/>
    <w:uiPriority w:val="99"/>
    <w:rPr>
      <w:sz w:val="21"/>
      <w:szCs w:val="21"/>
    </w:rPr>
  </w:style>
  <w:style w:type="table" w:styleId="24">
    <w:name w:val="Table Grid"/>
    <w:basedOn w:val="23"/>
    <w:qFormat/>
    <w:uiPriority w:val="39"/>
    <w:pPr/>
    <w:tblPr>
      <w:tblStyle w:val="23"/>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tcPr>
      <w:textDirection w:val="lrTb"/>
    </w:tcPr>
  </w:style>
  <w:style w:type="paragraph" w:customStyle="1" w:styleId="25">
    <w:name w:val="xl53"/>
    <w:basedOn w:val="1"/>
    <w:qFormat/>
    <w:uiPriority w:val="0"/>
    <w:pPr>
      <w:pBdr>
        <w:top w:val="single" w:color="auto" w:sz="4" w:space="0"/>
        <w:left w:val="single" w:color="auto" w:sz="8" w:space="0"/>
        <w:bottom w:val="single" w:color="auto" w:sz="8" w:space="0"/>
        <w:right w:val="single" w:color="auto" w:sz="4" w:space="0"/>
      </w:pBdr>
      <w:spacing w:before="100" w:beforeAutospacing="1" w:after="100" w:afterAutospacing="1" w:line="100" w:lineRule="exact"/>
      <w:jc w:val="center"/>
    </w:pPr>
    <w:rPr>
      <w:rFonts w:ascii="宋体" w:hAnsi="宋体"/>
      <w:b/>
      <w:bCs/>
      <w:sz w:val="20"/>
    </w:rPr>
  </w:style>
  <w:style w:type="paragraph" w:customStyle="1" w:styleId="26">
    <w:name w:val="Default"/>
    <w:basedOn w:val="1"/>
    <w:unhideWhenUsed/>
    <w:qFormat/>
    <w:uiPriority w:val="0"/>
    <w:pPr>
      <w:autoSpaceDE w:val="0"/>
      <w:autoSpaceDN w:val="0"/>
      <w:adjustRightInd w:val="0"/>
      <w:jc w:val="left"/>
    </w:pPr>
    <w:rPr>
      <w:rFonts w:ascii="宋体"/>
      <w:color w:val="000000"/>
      <w:sz w:val="24"/>
    </w:rPr>
  </w:style>
  <w:style w:type="paragraph" w:customStyle="1" w:styleId="27">
    <w:name w:val="列表段落1"/>
    <w:basedOn w:val="1"/>
    <w:qFormat/>
    <w:uiPriority w:val="34"/>
    <w:pPr>
      <w:ind w:firstLine="420" w:firstLineChars="200"/>
    </w:pPr>
  </w:style>
  <w:style w:type="paragraph" w:customStyle="1" w:styleId="28">
    <w:name w:val="p0"/>
    <w:basedOn w:val="1"/>
    <w:qFormat/>
    <w:uiPriority w:val="0"/>
    <w:pPr>
      <w:widowControl/>
      <w:spacing w:before="100" w:beforeAutospacing="1" w:after="100" w:afterAutospacing="1"/>
      <w:jc w:val="left"/>
    </w:pPr>
    <w:rPr>
      <w:rFonts w:ascii="宋体" w:hAnsi="宋体" w:cs="宋体"/>
      <w:kern w:val="0"/>
      <w:sz w:val="24"/>
    </w:rPr>
  </w:style>
  <w:style w:type="paragraph" w:customStyle="1" w:styleId="29">
    <w:name w:val="Normal_11"/>
    <w:qFormat/>
    <w:uiPriority w:val="99"/>
    <w:pPr>
      <w:spacing w:before="120" w:after="240"/>
      <w:jc w:val="both"/>
    </w:pPr>
    <w:rPr>
      <w:rFonts w:ascii="Calibri" w:hAnsi="Calibri" w:eastAsia="宋体" w:cs="Times New Roman"/>
      <w:sz w:val="22"/>
      <w:szCs w:val="22"/>
      <w:lang w:val="en-US" w:eastAsia="en-US" w:bidi="ar-SA"/>
    </w:rPr>
  </w:style>
  <w:style w:type="paragraph" w:customStyle="1" w:styleId="30">
    <w:name w:val="Normal_34"/>
    <w:qFormat/>
    <w:uiPriority w:val="99"/>
    <w:pPr>
      <w:spacing w:before="120" w:after="240"/>
      <w:jc w:val="both"/>
    </w:pPr>
    <w:rPr>
      <w:rFonts w:ascii="Calibri" w:hAnsi="Calibri" w:eastAsia="宋体" w:cs="Times New Roman"/>
      <w:sz w:val="22"/>
      <w:szCs w:val="22"/>
      <w:lang w:val="en-US" w:eastAsia="en-US" w:bidi="ar-SA"/>
    </w:rPr>
  </w:style>
  <w:style w:type="paragraph" w:customStyle="1" w:styleId="31">
    <w:name w:val="Revision"/>
    <w:hidden/>
    <w:unhideWhenUsed/>
    <w:uiPriority w:val="99"/>
    <w:pPr>
      <w:spacing w:after="0" w:line="240" w:lineRule="auto"/>
    </w:pPr>
    <w:rPr>
      <w:rFonts w:ascii="Calibri" w:hAnsi="Calibri" w:eastAsia="宋体" w:cs="黑体"/>
      <w:kern w:val="2"/>
      <w:sz w:val="21"/>
      <w:szCs w:val="22"/>
      <w:lang w:val="en-US" w:eastAsia="zh-CN" w:bidi="ar-SA"/>
    </w:rPr>
  </w:style>
  <w:style w:type="character" w:customStyle="1" w:styleId="32">
    <w:name w:val="页眉 字符"/>
    <w:basedOn w:val="19"/>
    <w:link w:val="17"/>
    <w:qFormat/>
    <w:uiPriority w:val="99"/>
    <w:rPr>
      <w:sz w:val="18"/>
      <w:szCs w:val="18"/>
    </w:rPr>
  </w:style>
  <w:style w:type="character" w:customStyle="1" w:styleId="33">
    <w:name w:val="页脚 字符"/>
    <w:basedOn w:val="19"/>
    <w:link w:val="16"/>
    <w:qFormat/>
    <w:uiPriority w:val="99"/>
    <w:rPr>
      <w:sz w:val="18"/>
      <w:szCs w:val="18"/>
    </w:rPr>
  </w:style>
  <w:style w:type="character" w:customStyle="1" w:styleId="34">
    <w:name w:val="标题 2 字符"/>
    <w:basedOn w:val="19"/>
    <w:link w:val="5"/>
    <w:qFormat/>
    <w:uiPriority w:val="9"/>
    <w:rPr>
      <w:rFonts w:ascii="宋体" w:hAnsi="宋体" w:eastAsia="宋体" w:cs="宋体"/>
      <w:b/>
      <w:bCs/>
      <w:kern w:val="0"/>
      <w:sz w:val="36"/>
      <w:szCs w:val="36"/>
    </w:rPr>
  </w:style>
  <w:style w:type="character" w:customStyle="1" w:styleId="35">
    <w:name w:val="font81"/>
    <w:basedOn w:val="19"/>
    <w:qFormat/>
    <w:uiPriority w:val="0"/>
    <w:rPr>
      <w:rFonts w:hint="eastAsia" w:ascii="宋体" w:hAnsi="宋体" w:eastAsia="宋体" w:cs="宋体"/>
      <w:b/>
      <w:bCs/>
      <w:color w:val="000000"/>
      <w:sz w:val="22"/>
      <w:szCs w:val="22"/>
      <w:u w:val="none"/>
    </w:rPr>
  </w:style>
  <w:style w:type="character" w:customStyle="1" w:styleId="36">
    <w:name w:val="批注文字 字符"/>
    <w:basedOn w:val="19"/>
    <w:link w:val="9"/>
    <w:qFormat/>
    <w:uiPriority w:val="99"/>
    <w:rPr>
      <w:rFonts w:ascii="Calibri" w:hAnsi="Calibri" w:cs="黑体"/>
      <w:kern w:val="2"/>
      <w:sz w:val="21"/>
      <w:szCs w:val="22"/>
    </w:rPr>
  </w:style>
  <w:style w:type="character" w:customStyle="1" w:styleId="37">
    <w:name w:val="批注主题 字符"/>
    <w:basedOn w:val="36"/>
    <w:link w:val="8"/>
    <w:semiHidden/>
    <w:qFormat/>
    <w:uiPriority w:val="99"/>
    <w:rPr>
      <w:rFonts w:ascii="Calibri" w:hAnsi="Calibri" w:cs="黑体"/>
      <w:b/>
      <w:bCs/>
      <w:kern w:val="2"/>
      <w:sz w:val="21"/>
      <w:szCs w:val="22"/>
    </w:rPr>
  </w:style>
</w:style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22</Pages>
  <Words>876</Words>
  <Characters>4995</Characters>
  <Lines>41</Lines>
  <Paragraphs>11</Paragraphs>
  <ScaleCrop>false</ScaleCrop>
  <LinksUpToDate>false</LinksUpToDate>
  <CharactersWithSpaces>0</CharactersWithSpaces>
  <Application>WPS Office 专业版_9.1.0.5012_F1E327BC-269C-435d-A152-05C5408002CA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2022-05-16T06:32:00Z</dcterms:created>
  <dc:creator>NTKO</dc:creator>
  <cp:lastModifiedBy>刘畅</cp:lastModifiedBy>
  <cp:lastPrinted>2023-08-30T03:24:00Z</cp:lastPrinted>
  <dcterms:modified xsi:type="dcterms:W3CDTF">2024-02-01T01:24:38Z</dcterms:modified>
  <dc:title>安徽省盐业投资控股集团有限公司</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2052-9.1.0.5012</vt:lpwstr>
  </property>
  <property fmtid="{D5CDD505-2E9C-101B-9397-08002B2CF9AE}" pid="3" name="ICV">
    <vt:lpwstr>1C3D83F6B8EF422D8D38757DD01EDAC2_13</vt:lpwstr>
  </property>
</Properties>
</file>